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C369" w14:textId="36A87B8D" w:rsidR="00AE0A12" w:rsidRDefault="007B78CD">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E04B57B5CF334AE2AE78474084EF50C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B57C2">
            <w:rPr>
              <w:rStyle w:val="FooterChar"/>
              <w:rFonts w:ascii="Arial" w:eastAsia="Arial" w:hAnsi="Arial" w:cs="Arial"/>
              <w:b/>
              <w:sz w:val="28"/>
              <w:szCs w:val="28"/>
            </w:rPr>
            <w:t>Non-Electric Utility Service Disconnection Notice to Tenants</w:t>
          </w:r>
        </w:sdtContent>
      </w:sdt>
      <w:r w:rsidR="007A4845">
        <w:rPr>
          <w:rStyle w:val="FooterChar"/>
          <w:rFonts w:ascii="Arial" w:eastAsia="Arial" w:hAnsi="Arial" w:cs="Arial"/>
          <w:b/>
          <w:sz w:val="28"/>
          <w:szCs w:val="28"/>
        </w:rPr>
        <w:t>, LMC Model</w:t>
      </w:r>
      <w:r w:rsidR="009B57C2">
        <w:rPr>
          <w:rStyle w:val="FooterChar"/>
          <w:rFonts w:ascii="Arial" w:eastAsia="Arial" w:hAnsi="Arial" w:cs="Arial"/>
          <w:b/>
          <w:sz w:val="28"/>
          <w:szCs w:val="28"/>
        </w:rPr>
        <w:t xml:space="preserve"> For</w:t>
      </w:r>
      <w:r w:rsidR="00C355AF">
        <w:rPr>
          <w:rStyle w:val="FooterChar"/>
          <w:rFonts w:ascii="Arial" w:eastAsia="Arial" w:hAnsi="Arial" w:cs="Arial"/>
          <w:b/>
          <w:sz w:val="28"/>
          <w:szCs w:val="28"/>
        </w:rPr>
        <w:t>m</w:t>
      </w:r>
    </w:p>
    <w:p w14:paraId="350F8BC8" w14:textId="77777777" w:rsidR="007A4845" w:rsidRDefault="007A4845">
      <w:pPr>
        <w:rPr>
          <w:rStyle w:val="FooterChar"/>
          <w:rFonts w:eastAsia="Arial"/>
          <w:b/>
        </w:rPr>
      </w:pPr>
    </w:p>
    <w:p w14:paraId="30723C38" w14:textId="77777777" w:rsidR="00003DF6" w:rsidRPr="00003DF6" w:rsidRDefault="007A4845" w:rsidP="007A4845">
      <w:pPr>
        <w:rPr>
          <w:sz w:val="22"/>
          <w:szCs w:val="22"/>
        </w:rPr>
      </w:pPr>
      <w:r w:rsidRPr="007A4845">
        <w:rPr>
          <w:i/>
          <w:sz w:val="22"/>
          <w:szCs w:val="22"/>
        </w:rPr>
        <w:t xml:space="preserve">Helpful background information on this model may be found </w:t>
      </w:r>
      <w:r w:rsidR="00307F09">
        <w:rPr>
          <w:i/>
          <w:sz w:val="22"/>
          <w:szCs w:val="22"/>
        </w:rPr>
        <w:t>in</w:t>
      </w:r>
      <w:r w:rsidR="009B57C2">
        <w:rPr>
          <w:i/>
          <w:sz w:val="22"/>
          <w:szCs w:val="22"/>
        </w:rPr>
        <w:t xml:space="preserve"> </w:t>
      </w:r>
      <w:hyperlink r:id="rId7" w:history="1">
        <w:r w:rsidR="009B57C2" w:rsidRPr="009B57C2">
          <w:rPr>
            <w:rStyle w:val="Hyperlink"/>
            <w:i/>
            <w:sz w:val="22"/>
            <w:szCs w:val="22"/>
          </w:rPr>
          <w:t>“Securi</w:t>
        </w:r>
        <w:r w:rsidR="009B57C2" w:rsidRPr="009B57C2">
          <w:rPr>
            <w:rStyle w:val="Hyperlink"/>
            <w:i/>
            <w:sz w:val="22"/>
            <w:szCs w:val="22"/>
          </w:rPr>
          <w:t>ng Payment of Utility Charges.”</w:t>
        </w:r>
      </w:hyperlink>
    </w:p>
    <w:p w14:paraId="297CEB8A" w14:textId="77777777" w:rsidR="00003DF6" w:rsidRDefault="00003DF6" w:rsidP="007A4845">
      <w:pPr>
        <w:rPr>
          <w:sz w:val="22"/>
          <w:szCs w:val="22"/>
        </w:rPr>
      </w:pPr>
    </w:p>
    <w:p w14:paraId="3864D3A4" w14:textId="77777777" w:rsidR="009B57C2" w:rsidRPr="00D07484" w:rsidRDefault="009B57C2" w:rsidP="00D07484">
      <w:pPr>
        <w:ind w:left="630"/>
        <w:rPr>
          <w:b/>
        </w:rPr>
      </w:pPr>
      <w:r w:rsidRPr="00D07484">
        <w:rPr>
          <w:b/>
          <w:noProof/>
        </w:rPr>
        <w:drawing>
          <wp:anchor distT="0" distB="0" distL="114300" distR="114300" simplePos="0" relativeHeight="251659264" behindDoc="1" locked="0" layoutInCell="1" allowOverlap="1" wp14:anchorId="0AF29BA9" wp14:editId="184A5E44">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F181180" w14:textId="77777777" w:rsidR="009B57C2" w:rsidRDefault="009B57C2" w:rsidP="007A4845">
      <w:pPr>
        <w:rPr>
          <w:sz w:val="22"/>
          <w:szCs w:val="22"/>
        </w:rPr>
      </w:pPr>
    </w:p>
    <w:p w14:paraId="29640397" w14:textId="77777777" w:rsidR="009B57C2" w:rsidRPr="00CC49C6" w:rsidRDefault="009B57C2" w:rsidP="009B57C2">
      <w:pPr>
        <w:jc w:val="center"/>
        <w:rPr>
          <w:sz w:val="72"/>
          <w:szCs w:val="72"/>
        </w:rPr>
      </w:pPr>
      <w:r w:rsidRPr="00CC49C6">
        <w:rPr>
          <w:sz w:val="72"/>
          <w:szCs w:val="72"/>
        </w:rPr>
        <w:t>NOTICE</w:t>
      </w:r>
    </w:p>
    <w:p w14:paraId="7CEA7225" w14:textId="77777777" w:rsidR="009B57C2" w:rsidRDefault="009B57C2" w:rsidP="009B57C2"/>
    <w:p w14:paraId="492A01C8" w14:textId="77777777" w:rsidR="009B57C2" w:rsidRPr="00877EE3" w:rsidRDefault="009B57C2" w:rsidP="009B57C2">
      <w:pPr>
        <w:rPr>
          <w:i/>
          <w:sz w:val="22"/>
          <w:szCs w:val="22"/>
        </w:rPr>
      </w:pPr>
      <w:r w:rsidRPr="00877EE3">
        <w:rPr>
          <w:i/>
          <w:noProof/>
          <w:sz w:val="22"/>
          <w:szCs w:val="22"/>
        </w:rPr>
        <w:drawing>
          <wp:anchor distT="0" distB="0" distL="114300" distR="114300" simplePos="0" relativeHeight="251661312" behindDoc="1" locked="0" layoutInCell="1" allowOverlap="1" wp14:anchorId="780F0F32" wp14:editId="74C6EFB7">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77EE3">
        <w:rPr>
          <w:i/>
          <w:sz w:val="22"/>
          <w:szCs w:val="22"/>
        </w:rPr>
        <w:t xml:space="preserve">This </w:t>
      </w:r>
      <w:r>
        <w:rPr>
          <w:i/>
          <w:sz w:val="22"/>
          <w:szCs w:val="22"/>
        </w:rPr>
        <w:t>notice</w:t>
      </w:r>
      <w:r w:rsidRPr="00877EE3">
        <w:rPr>
          <w:i/>
          <w:sz w:val="22"/>
          <w:szCs w:val="22"/>
        </w:rPr>
        <w:t xml:space="preserve"> </w:t>
      </w:r>
      <w:r>
        <w:rPr>
          <w:i/>
          <w:sz w:val="22"/>
          <w:szCs w:val="22"/>
        </w:rPr>
        <w:t>is for use in</w:t>
      </w:r>
      <w:r w:rsidRPr="00877EE3">
        <w:rPr>
          <w:i/>
          <w:sz w:val="22"/>
          <w:szCs w:val="22"/>
        </w:rPr>
        <w:t xml:space="preserve"> </w:t>
      </w:r>
      <w:r>
        <w:rPr>
          <w:i/>
          <w:sz w:val="22"/>
          <w:szCs w:val="22"/>
        </w:rPr>
        <w:t>alerting</w:t>
      </w:r>
      <w:r w:rsidRPr="00877EE3">
        <w:rPr>
          <w:i/>
          <w:sz w:val="22"/>
          <w:szCs w:val="22"/>
        </w:rPr>
        <w:t xml:space="preserve"> tenants of an impending </w:t>
      </w:r>
      <w:r>
        <w:rPr>
          <w:i/>
          <w:sz w:val="22"/>
          <w:szCs w:val="22"/>
        </w:rPr>
        <w:t xml:space="preserve">utility service disconnection, other than electric utility service, </w:t>
      </w:r>
      <w:r w:rsidRPr="00877EE3">
        <w:rPr>
          <w:i/>
          <w:sz w:val="22"/>
          <w:szCs w:val="22"/>
        </w:rPr>
        <w:t>when the landlord has failed to pay charges due.</w:t>
      </w:r>
    </w:p>
    <w:p w14:paraId="6B9337BC" w14:textId="77777777" w:rsidR="009B57C2" w:rsidRDefault="009B57C2" w:rsidP="009B57C2"/>
    <w:p w14:paraId="09CE1E96" w14:textId="77777777" w:rsidR="009B57C2" w:rsidRDefault="009B57C2" w:rsidP="009B57C2">
      <w:pPr>
        <w:jc w:val="center"/>
        <w:rPr>
          <w:b/>
          <w:sz w:val="36"/>
          <w:szCs w:val="36"/>
        </w:rPr>
      </w:pPr>
      <w:r w:rsidRPr="00877EE3">
        <w:rPr>
          <w:b/>
          <w:sz w:val="36"/>
          <w:szCs w:val="36"/>
        </w:rPr>
        <w:fldChar w:fldCharType="begin">
          <w:ffData>
            <w:name w:val="Text5"/>
            <w:enabled/>
            <w:calcOnExit w:val="0"/>
            <w:textInput>
              <w:default w:val="_______"/>
            </w:textInput>
          </w:ffData>
        </w:fldChar>
      </w:r>
      <w:r w:rsidRPr="00877EE3">
        <w:rPr>
          <w:b/>
          <w:sz w:val="36"/>
          <w:szCs w:val="36"/>
        </w:rPr>
        <w:instrText xml:space="preserve"> FORMTEXT </w:instrText>
      </w:r>
      <w:r w:rsidRPr="00877EE3">
        <w:rPr>
          <w:b/>
          <w:sz w:val="36"/>
          <w:szCs w:val="36"/>
        </w:rPr>
      </w:r>
      <w:r w:rsidRPr="00877EE3">
        <w:rPr>
          <w:b/>
          <w:sz w:val="36"/>
          <w:szCs w:val="36"/>
        </w:rPr>
        <w:fldChar w:fldCharType="separate"/>
      </w:r>
      <w:r w:rsidRPr="00877EE3">
        <w:rPr>
          <w:b/>
          <w:noProof/>
          <w:sz w:val="36"/>
          <w:szCs w:val="36"/>
        </w:rPr>
        <w:t>_______</w:t>
      </w:r>
      <w:r w:rsidRPr="00877EE3">
        <w:rPr>
          <w:b/>
          <w:sz w:val="36"/>
          <w:szCs w:val="36"/>
        </w:rPr>
        <w:fldChar w:fldCharType="end"/>
      </w:r>
      <w:r>
        <w:rPr>
          <w:b/>
          <w:sz w:val="36"/>
          <w:szCs w:val="36"/>
        </w:rPr>
        <w:t xml:space="preserve"> service to this building will be discontinued or shut off on </w:t>
      </w:r>
      <w:r w:rsidRPr="00877EE3">
        <w:rPr>
          <w:b/>
          <w:sz w:val="36"/>
          <w:szCs w:val="36"/>
        </w:rPr>
        <w:fldChar w:fldCharType="begin">
          <w:ffData>
            <w:name w:val="Text5"/>
            <w:enabled/>
            <w:calcOnExit w:val="0"/>
            <w:textInput>
              <w:default w:val="_______"/>
            </w:textInput>
          </w:ffData>
        </w:fldChar>
      </w:r>
      <w:r w:rsidRPr="00877EE3">
        <w:rPr>
          <w:b/>
          <w:sz w:val="36"/>
          <w:szCs w:val="36"/>
        </w:rPr>
        <w:instrText xml:space="preserve"> FORMTEXT </w:instrText>
      </w:r>
      <w:r w:rsidRPr="00877EE3">
        <w:rPr>
          <w:b/>
          <w:sz w:val="36"/>
          <w:szCs w:val="36"/>
        </w:rPr>
      </w:r>
      <w:r w:rsidRPr="00877EE3">
        <w:rPr>
          <w:b/>
          <w:sz w:val="36"/>
          <w:szCs w:val="36"/>
        </w:rPr>
        <w:fldChar w:fldCharType="separate"/>
      </w:r>
      <w:r w:rsidRPr="00877EE3">
        <w:rPr>
          <w:b/>
          <w:noProof/>
          <w:sz w:val="36"/>
          <w:szCs w:val="36"/>
        </w:rPr>
        <w:t>_______</w:t>
      </w:r>
      <w:r w:rsidRPr="00877EE3">
        <w:rPr>
          <w:b/>
          <w:sz w:val="36"/>
          <w:szCs w:val="36"/>
        </w:rPr>
        <w:fldChar w:fldCharType="end"/>
      </w:r>
      <w:r>
        <w:rPr>
          <w:b/>
          <w:sz w:val="36"/>
          <w:szCs w:val="36"/>
        </w:rPr>
        <w:t xml:space="preserve"> because the landlord has failed to pay for the service. To obtain further information call the </w:t>
      </w:r>
      <w:r w:rsidRPr="00877EE3">
        <w:rPr>
          <w:b/>
          <w:sz w:val="36"/>
          <w:szCs w:val="36"/>
        </w:rPr>
        <w:fldChar w:fldCharType="begin">
          <w:ffData>
            <w:name w:val="Text5"/>
            <w:enabled/>
            <w:calcOnExit w:val="0"/>
            <w:textInput>
              <w:default w:val="_______"/>
            </w:textInput>
          </w:ffData>
        </w:fldChar>
      </w:r>
      <w:r w:rsidRPr="00877EE3">
        <w:rPr>
          <w:b/>
          <w:sz w:val="36"/>
          <w:szCs w:val="36"/>
        </w:rPr>
        <w:instrText xml:space="preserve"> FORMTEXT </w:instrText>
      </w:r>
      <w:r w:rsidRPr="00877EE3">
        <w:rPr>
          <w:b/>
          <w:sz w:val="36"/>
          <w:szCs w:val="36"/>
        </w:rPr>
      </w:r>
      <w:r w:rsidRPr="00877EE3">
        <w:rPr>
          <w:b/>
          <w:sz w:val="36"/>
          <w:szCs w:val="36"/>
        </w:rPr>
        <w:fldChar w:fldCharType="separate"/>
      </w:r>
      <w:r w:rsidRPr="00877EE3">
        <w:rPr>
          <w:b/>
          <w:noProof/>
          <w:sz w:val="36"/>
          <w:szCs w:val="36"/>
        </w:rPr>
        <w:t>_______</w:t>
      </w:r>
      <w:r w:rsidRPr="00877EE3">
        <w:rPr>
          <w:b/>
          <w:sz w:val="36"/>
          <w:szCs w:val="36"/>
        </w:rPr>
        <w:fldChar w:fldCharType="end"/>
      </w:r>
      <w:r>
        <w:rPr>
          <w:b/>
          <w:sz w:val="36"/>
          <w:szCs w:val="36"/>
        </w:rPr>
        <w:t xml:space="preserve"> City Utility at </w:t>
      </w:r>
      <w:r w:rsidRPr="00877EE3">
        <w:rPr>
          <w:b/>
          <w:sz w:val="36"/>
          <w:szCs w:val="36"/>
        </w:rPr>
        <w:fldChar w:fldCharType="begin">
          <w:ffData>
            <w:name w:val="Text5"/>
            <w:enabled/>
            <w:calcOnExit w:val="0"/>
            <w:textInput>
              <w:default w:val="_______"/>
            </w:textInput>
          </w:ffData>
        </w:fldChar>
      </w:r>
      <w:r w:rsidRPr="00877EE3">
        <w:rPr>
          <w:b/>
          <w:sz w:val="36"/>
          <w:szCs w:val="36"/>
        </w:rPr>
        <w:instrText xml:space="preserve"> FORMTEXT </w:instrText>
      </w:r>
      <w:r w:rsidRPr="00877EE3">
        <w:rPr>
          <w:b/>
          <w:sz w:val="36"/>
          <w:szCs w:val="36"/>
        </w:rPr>
      </w:r>
      <w:r w:rsidRPr="00877EE3">
        <w:rPr>
          <w:b/>
          <w:sz w:val="36"/>
          <w:szCs w:val="36"/>
        </w:rPr>
        <w:fldChar w:fldCharType="separate"/>
      </w:r>
      <w:r w:rsidRPr="00877EE3">
        <w:rPr>
          <w:b/>
          <w:noProof/>
          <w:sz w:val="36"/>
          <w:szCs w:val="36"/>
        </w:rPr>
        <w:t>_______</w:t>
      </w:r>
      <w:r w:rsidRPr="00877EE3">
        <w:rPr>
          <w:b/>
          <w:sz w:val="36"/>
          <w:szCs w:val="36"/>
        </w:rPr>
        <w:fldChar w:fldCharType="end"/>
      </w:r>
      <w:r>
        <w:rPr>
          <w:b/>
          <w:sz w:val="36"/>
          <w:szCs w:val="36"/>
        </w:rPr>
        <w:t>.</w:t>
      </w:r>
    </w:p>
    <w:p w14:paraId="43781A90" w14:textId="77777777" w:rsidR="009B57C2" w:rsidRDefault="009B57C2" w:rsidP="009B57C2"/>
    <w:p w14:paraId="719FD762" w14:textId="77777777" w:rsidR="009B57C2" w:rsidRPr="009B57C2" w:rsidRDefault="009B57C2" w:rsidP="009B57C2">
      <w:pPr>
        <w:ind w:left="720"/>
        <w:rPr>
          <w:i/>
          <w:sz w:val="22"/>
          <w:szCs w:val="22"/>
        </w:rPr>
      </w:pPr>
      <w:r w:rsidRPr="009B57C2">
        <w:rPr>
          <w:i/>
          <w:noProof/>
          <w:sz w:val="22"/>
          <w:szCs w:val="22"/>
        </w:rPr>
        <w:drawing>
          <wp:anchor distT="0" distB="0" distL="114300" distR="114300" simplePos="0" relativeHeight="251664384" behindDoc="1" locked="0" layoutInCell="1" allowOverlap="1" wp14:anchorId="0EE737BE" wp14:editId="57523C07">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B57C2">
        <w:rPr>
          <w:i/>
          <w:sz w:val="22"/>
          <w:szCs w:val="22"/>
        </w:rPr>
        <w:t>Insert the type of utility service to be disconnected, such as home heating oil, propane, natural gas or water.</w:t>
      </w:r>
    </w:p>
    <w:p w14:paraId="1C16B8F9" w14:textId="77777777" w:rsidR="009B57C2" w:rsidRPr="00D07484" w:rsidRDefault="009B57C2" w:rsidP="009B57C2">
      <w:pPr>
        <w:ind w:left="720"/>
      </w:pPr>
      <w:r w:rsidRPr="009B57C2">
        <w:rPr>
          <w:i/>
          <w:noProof/>
          <w:sz w:val="22"/>
          <w:szCs w:val="22"/>
        </w:rPr>
        <w:drawing>
          <wp:anchor distT="0" distB="0" distL="114300" distR="114300" simplePos="0" relativeHeight="251666432" behindDoc="1" locked="0" layoutInCell="1" allowOverlap="1" wp14:anchorId="08D5C7BE" wp14:editId="0C5C666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B57C2">
        <w:rPr>
          <w:i/>
          <w:sz w:val="22"/>
          <w:szCs w:val="22"/>
        </w:rPr>
        <w:t>“Landlord” means an owner of real property, a contract for deed vendee, receiver, executor, trustee, lessee, agent, or other person directly or indirectly in control of rental property. Mi</w:t>
      </w:r>
      <w:r>
        <w:rPr>
          <w:i/>
          <w:sz w:val="22"/>
          <w:szCs w:val="22"/>
        </w:rPr>
        <w:t>n</w:t>
      </w:r>
      <w:r w:rsidRPr="009B57C2">
        <w:rPr>
          <w:i/>
          <w:sz w:val="22"/>
          <w:szCs w:val="22"/>
        </w:rPr>
        <w:t>n. Stat. § 504B.</w:t>
      </w:r>
      <w:r>
        <w:rPr>
          <w:i/>
          <w:sz w:val="22"/>
          <w:szCs w:val="22"/>
        </w:rPr>
        <w:t>001</w:t>
      </w:r>
      <w:r w:rsidRPr="009B57C2">
        <w:rPr>
          <w:i/>
          <w:sz w:val="22"/>
          <w:szCs w:val="22"/>
        </w:rPr>
        <w:t xml:space="preserve">, subd. </w:t>
      </w:r>
      <w:r>
        <w:rPr>
          <w:i/>
          <w:sz w:val="22"/>
          <w:szCs w:val="22"/>
        </w:rPr>
        <w:t>7</w:t>
      </w:r>
      <w:r>
        <w:t>.</w:t>
      </w:r>
    </w:p>
    <w:p w14:paraId="2EC2F15D" w14:textId="77777777" w:rsidR="009B57C2" w:rsidRPr="00D07484" w:rsidRDefault="009B57C2" w:rsidP="00B97C6D"/>
    <w:p w14:paraId="07B24C83" w14:textId="77777777" w:rsidR="009B57C2" w:rsidRPr="00EB1ACC" w:rsidRDefault="009B57C2" w:rsidP="009B57C2">
      <w:pPr>
        <w:jc w:val="center"/>
        <w:rPr>
          <w:b/>
          <w:color w:val="000000"/>
        </w:rPr>
      </w:pPr>
      <w:r w:rsidRPr="00EB1ACC">
        <w:rPr>
          <w:b/>
          <w:color w:val="000000"/>
        </w:rPr>
        <w:t xml:space="preserve">Tenants have the right </w:t>
      </w:r>
      <w:r>
        <w:rPr>
          <w:b/>
          <w:color w:val="000000"/>
        </w:rPr>
        <w:t xml:space="preserve">under state law, Minn. Stat. § 504B.215, subd. 3, </w:t>
      </w:r>
      <w:r w:rsidRPr="00EB1ACC">
        <w:rPr>
          <w:b/>
          <w:color w:val="000000"/>
        </w:rPr>
        <w:t>to continue or restore service.</w:t>
      </w:r>
    </w:p>
    <w:p w14:paraId="5E2DFB41" w14:textId="77777777" w:rsidR="009B57C2" w:rsidRPr="00EB1ACC" w:rsidRDefault="009B57C2" w:rsidP="009B57C2">
      <w:pPr>
        <w:jc w:val="center"/>
        <w:rPr>
          <w:b/>
          <w:color w:val="000000"/>
        </w:rPr>
      </w:pPr>
    </w:p>
    <w:p w14:paraId="250CD943" w14:textId="77777777" w:rsidR="009B57C2" w:rsidRPr="00EB1ACC" w:rsidRDefault="009B57C2" w:rsidP="009B57C2">
      <w:pPr>
        <w:autoSpaceDE w:val="0"/>
        <w:autoSpaceDN w:val="0"/>
        <w:adjustRightInd w:val="0"/>
        <w:ind w:left="1440" w:hanging="720"/>
        <w:rPr>
          <w:b/>
          <w:color w:val="000000"/>
        </w:rPr>
      </w:pPr>
      <w:r w:rsidRPr="00EB1ACC">
        <w:rPr>
          <w:b/>
          <w:color w:val="000000"/>
        </w:rPr>
        <w:t xml:space="preserve">• </w:t>
      </w:r>
      <w:r w:rsidRPr="00EB1ACC">
        <w:rPr>
          <w:b/>
          <w:color w:val="000000"/>
        </w:rPr>
        <w:tab/>
        <w:t>A tenant has a continuing right to pay the current charges (current charges do not include late payment fees incurred by the landlord) for the most recent billing period and retain service.</w:t>
      </w:r>
    </w:p>
    <w:p w14:paraId="78F7A159" w14:textId="77777777" w:rsidR="009B57C2" w:rsidRPr="009B57C2" w:rsidRDefault="009B57C2" w:rsidP="009B57C2">
      <w:pPr>
        <w:autoSpaceDE w:val="0"/>
        <w:autoSpaceDN w:val="0"/>
        <w:adjustRightInd w:val="0"/>
        <w:rPr>
          <w:color w:val="000000"/>
        </w:rPr>
      </w:pPr>
    </w:p>
    <w:p w14:paraId="4EF5D482" w14:textId="77777777" w:rsidR="009B57C2" w:rsidRPr="00EB1ACC" w:rsidRDefault="009B57C2" w:rsidP="009B57C2">
      <w:pPr>
        <w:autoSpaceDE w:val="0"/>
        <w:autoSpaceDN w:val="0"/>
        <w:adjustRightInd w:val="0"/>
        <w:ind w:left="1440" w:hanging="720"/>
        <w:rPr>
          <w:b/>
          <w:color w:val="000000"/>
        </w:rPr>
      </w:pPr>
      <w:r w:rsidRPr="00EB1ACC">
        <w:rPr>
          <w:b/>
          <w:color w:val="000000"/>
        </w:rPr>
        <w:t xml:space="preserve">• </w:t>
      </w:r>
      <w:r w:rsidRPr="00EB1ACC">
        <w:rPr>
          <w:b/>
          <w:color w:val="000000"/>
        </w:rPr>
        <w:tab/>
        <w:t>A tenant has the same amount of time provided by city ordinance, policy, or practice within which to pay the charges.</w:t>
      </w:r>
    </w:p>
    <w:p w14:paraId="47E65EC3" w14:textId="77777777" w:rsidR="009B57C2" w:rsidRPr="009B57C2" w:rsidRDefault="009B57C2" w:rsidP="009B57C2">
      <w:pPr>
        <w:autoSpaceDE w:val="0"/>
        <w:autoSpaceDN w:val="0"/>
        <w:adjustRightInd w:val="0"/>
        <w:rPr>
          <w:color w:val="000000"/>
        </w:rPr>
      </w:pPr>
    </w:p>
    <w:p w14:paraId="6BCE2904" w14:textId="77777777" w:rsidR="009B57C2" w:rsidRPr="00EB1ACC" w:rsidRDefault="009B57C2" w:rsidP="009B57C2">
      <w:pPr>
        <w:autoSpaceDE w:val="0"/>
        <w:autoSpaceDN w:val="0"/>
        <w:adjustRightInd w:val="0"/>
        <w:ind w:left="720"/>
        <w:rPr>
          <w:b/>
          <w:color w:val="000000"/>
        </w:rPr>
      </w:pPr>
      <w:r w:rsidRPr="00EB1ACC">
        <w:rPr>
          <w:b/>
          <w:color w:val="000000"/>
        </w:rPr>
        <w:t xml:space="preserve">• </w:t>
      </w:r>
      <w:r w:rsidRPr="00EB1ACC">
        <w:rPr>
          <w:b/>
          <w:color w:val="000000"/>
        </w:rPr>
        <w:tab/>
        <w:t>A tenant is not subject to any deposit requirements.</w:t>
      </w:r>
    </w:p>
    <w:p w14:paraId="5F0877E9" w14:textId="77777777" w:rsidR="009B57C2" w:rsidRPr="00EB1ACC" w:rsidRDefault="009B57C2" w:rsidP="009B57C2">
      <w:pPr>
        <w:autoSpaceDE w:val="0"/>
        <w:autoSpaceDN w:val="0"/>
        <w:adjustRightInd w:val="0"/>
        <w:rPr>
          <w:b/>
          <w:color w:val="000000"/>
        </w:rPr>
      </w:pPr>
    </w:p>
    <w:p w14:paraId="62ED106A" w14:textId="77777777" w:rsidR="009B57C2" w:rsidRPr="00EB1ACC" w:rsidRDefault="009B57C2" w:rsidP="009B57C2">
      <w:pPr>
        <w:autoSpaceDE w:val="0"/>
        <w:autoSpaceDN w:val="0"/>
        <w:adjustRightInd w:val="0"/>
        <w:rPr>
          <w:b/>
          <w:color w:val="000000"/>
        </w:rPr>
      </w:pPr>
      <w:r w:rsidRPr="00EB1ACC">
        <w:rPr>
          <w:b/>
          <w:color w:val="000000"/>
        </w:rPr>
        <w:t xml:space="preserve">Tenants may deduct documented payments from rent obligations. Tenants may consider seeking assistance from legal aid, a private attorney, or a housing organization in exercising the rights of tenants under Minnesota law to maintain their utility service. </w:t>
      </w:r>
    </w:p>
    <w:p w14:paraId="3B9BAC7E" w14:textId="77777777" w:rsidR="009B57C2" w:rsidRPr="005A6884" w:rsidRDefault="009B57C2" w:rsidP="009B57C2">
      <w:pPr>
        <w:jc w:val="center"/>
        <w:rPr>
          <w:b/>
        </w:rPr>
      </w:pPr>
    </w:p>
    <w:p w14:paraId="5E352C86" w14:textId="0ECF749F" w:rsidR="009B57C2" w:rsidRDefault="009B57C2" w:rsidP="009B57C2">
      <w:pPr>
        <w:jc w:val="center"/>
        <w:rPr>
          <w:b/>
          <w:i/>
          <w:sz w:val="36"/>
          <w:szCs w:val="36"/>
        </w:rPr>
      </w:pPr>
      <w:r w:rsidRPr="002E00F0">
        <w:rPr>
          <w:b/>
          <w:i/>
          <w:sz w:val="36"/>
          <w:szCs w:val="36"/>
        </w:rPr>
        <w:lastRenderedPageBreak/>
        <w:t xml:space="preserve">It is a violation of </w:t>
      </w:r>
      <w:r>
        <w:rPr>
          <w:b/>
          <w:i/>
          <w:sz w:val="36"/>
          <w:szCs w:val="36"/>
        </w:rPr>
        <w:t xml:space="preserve">City Ordinance No. </w:t>
      </w:r>
      <w:r w:rsidRPr="00877EE3">
        <w:rPr>
          <w:b/>
          <w:sz w:val="36"/>
          <w:szCs w:val="36"/>
        </w:rPr>
        <w:fldChar w:fldCharType="begin">
          <w:ffData>
            <w:name w:val="Text5"/>
            <w:enabled/>
            <w:calcOnExit w:val="0"/>
            <w:textInput>
              <w:default w:val="_______"/>
            </w:textInput>
          </w:ffData>
        </w:fldChar>
      </w:r>
      <w:r w:rsidRPr="00877EE3">
        <w:rPr>
          <w:b/>
          <w:sz w:val="36"/>
          <w:szCs w:val="36"/>
        </w:rPr>
        <w:instrText xml:space="preserve"> FORMTEXT </w:instrText>
      </w:r>
      <w:r w:rsidRPr="00877EE3">
        <w:rPr>
          <w:b/>
          <w:sz w:val="36"/>
          <w:szCs w:val="36"/>
        </w:rPr>
      </w:r>
      <w:r w:rsidRPr="00877EE3">
        <w:rPr>
          <w:b/>
          <w:sz w:val="36"/>
          <w:szCs w:val="36"/>
        </w:rPr>
        <w:fldChar w:fldCharType="separate"/>
      </w:r>
      <w:r w:rsidRPr="00877EE3">
        <w:rPr>
          <w:b/>
          <w:noProof/>
          <w:sz w:val="36"/>
          <w:szCs w:val="36"/>
        </w:rPr>
        <w:t>_______</w:t>
      </w:r>
      <w:r w:rsidRPr="00877EE3">
        <w:rPr>
          <w:b/>
          <w:sz w:val="36"/>
          <w:szCs w:val="36"/>
        </w:rPr>
        <w:fldChar w:fldCharType="end"/>
      </w:r>
      <w:r w:rsidR="007B78CD">
        <w:rPr>
          <w:b/>
          <w:sz w:val="36"/>
          <w:szCs w:val="36"/>
        </w:rPr>
        <w:t xml:space="preserve"> </w:t>
      </w:r>
      <w:r w:rsidRPr="002E00F0">
        <w:rPr>
          <w:b/>
          <w:i/>
          <w:sz w:val="36"/>
          <w:szCs w:val="36"/>
        </w:rPr>
        <w:t>to remove this notic</w:t>
      </w:r>
      <w:r>
        <w:rPr>
          <w:b/>
          <w:i/>
          <w:sz w:val="36"/>
          <w:szCs w:val="36"/>
        </w:rPr>
        <w:t>e.</w:t>
      </w:r>
    </w:p>
    <w:p w14:paraId="38F9E6D9" w14:textId="77777777" w:rsidR="009B57C2" w:rsidRDefault="009B57C2" w:rsidP="009B57C2">
      <w:pPr>
        <w:rPr>
          <w:sz w:val="22"/>
          <w:szCs w:val="22"/>
        </w:rPr>
      </w:pPr>
    </w:p>
    <w:p w14:paraId="6619E853" w14:textId="77777777" w:rsidR="009B57C2" w:rsidRPr="00877EE3" w:rsidRDefault="009B57C2" w:rsidP="009B57C2">
      <w:pPr>
        <w:rPr>
          <w:i/>
          <w:sz w:val="22"/>
          <w:szCs w:val="22"/>
        </w:rPr>
      </w:pPr>
      <w:r w:rsidRPr="00877EE3">
        <w:rPr>
          <w:i/>
          <w:noProof/>
          <w:sz w:val="22"/>
          <w:szCs w:val="22"/>
        </w:rPr>
        <w:drawing>
          <wp:anchor distT="0" distB="0" distL="114300" distR="114300" simplePos="0" relativeHeight="251662336" behindDoc="1" locked="0" layoutInCell="1" allowOverlap="1" wp14:anchorId="4FD1D8A8" wp14:editId="4071914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77EE3">
        <w:rPr>
          <w:i/>
          <w:sz w:val="22"/>
          <w:szCs w:val="22"/>
        </w:rPr>
        <w:t xml:space="preserve">Omit this violation statement if the </w:t>
      </w:r>
      <w:r>
        <w:rPr>
          <w:i/>
          <w:sz w:val="22"/>
          <w:szCs w:val="22"/>
        </w:rPr>
        <w:t xml:space="preserve">removal violation </w:t>
      </w:r>
      <w:r w:rsidRPr="00877EE3">
        <w:rPr>
          <w:i/>
          <w:sz w:val="22"/>
          <w:szCs w:val="22"/>
        </w:rPr>
        <w:t>provision is not included in your ordinance.</w:t>
      </w:r>
    </w:p>
    <w:sectPr w:rsidR="009B57C2" w:rsidRPr="00877E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7883" w14:textId="77777777" w:rsidR="009B57C2" w:rsidRDefault="009B57C2" w:rsidP="007A4845">
      <w:r>
        <w:separator/>
      </w:r>
    </w:p>
  </w:endnote>
  <w:endnote w:type="continuationSeparator" w:id="0">
    <w:p w14:paraId="5F3FDB8B" w14:textId="77777777" w:rsidR="009B57C2" w:rsidRDefault="009B57C2"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5416" w14:textId="296575F1"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2-01T00:00:00Z">
          <w:dateFormat w:val="M/d/yyyy"/>
          <w:lid w:val="en-US"/>
          <w:storeMappedDataAs w:val="dateTime"/>
          <w:calendar w:val="gregorian"/>
        </w:date>
      </w:sdtPr>
      <w:sdtEndPr/>
      <w:sdtContent>
        <w:r w:rsidR="007B78CD">
          <w:rPr>
            <w:rFonts w:ascii="Arial" w:eastAsia="Arial" w:hAnsi="Arial" w:cs="Arial"/>
            <w:sz w:val="15"/>
            <w:szCs w:val="15"/>
          </w:rPr>
          <w:t>2/1/2025</w:t>
        </w:r>
      </w:sdtContent>
    </w:sdt>
  </w:p>
  <w:p w14:paraId="3E64A317" w14:textId="77777777" w:rsidR="001624F8" w:rsidRPr="001624F8" w:rsidRDefault="007B78CD"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9B57C2">
          <w:rPr>
            <w:rFonts w:ascii="Arial" w:eastAsia="Arial" w:hAnsi="Arial" w:cs="Arial"/>
            <w:sz w:val="15"/>
            <w:szCs w:val="15"/>
          </w:rPr>
          <w:t>Non-Electric Utility Service Disconnection Notice to Tenants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3F7C57">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22DE" w14:textId="77777777" w:rsidR="009B57C2" w:rsidRDefault="009B57C2" w:rsidP="007A4845">
      <w:r>
        <w:separator/>
      </w:r>
    </w:p>
  </w:footnote>
  <w:footnote w:type="continuationSeparator" w:id="0">
    <w:p w14:paraId="74A4FFD5" w14:textId="77777777" w:rsidR="009B57C2" w:rsidRDefault="009B57C2"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2E80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55001536">
    <w:abstractNumId w:val="1"/>
  </w:num>
  <w:num w:numId="2" w16cid:durableId="28785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C2"/>
    <w:rsid w:val="00003DF6"/>
    <w:rsid w:val="000557FD"/>
    <w:rsid w:val="001305D5"/>
    <w:rsid w:val="001624F8"/>
    <w:rsid w:val="001823FD"/>
    <w:rsid w:val="001C6DCA"/>
    <w:rsid w:val="001D122C"/>
    <w:rsid w:val="002342E4"/>
    <w:rsid w:val="003001DF"/>
    <w:rsid w:val="00307F09"/>
    <w:rsid w:val="00311244"/>
    <w:rsid w:val="00335C65"/>
    <w:rsid w:val="003D5E54"/>
    <w:rsid w:val="003F7C57"/>
    <w:rsid w:val="0045419D"/>
    <w:rsid w:val="004A7267"/>
    <w:rsid w:val="004B14EC"/>
    <w:rsid w:val="004B6F0D"/>
    <w:rsid w:val="00545D83"/>
    <w:rsid w:val="0056674B"/>
    <w:rsid w:val="00594A11"/>
    <w:rsid w:val="005A714E"/>
    <w:rsid w:val="005D63A9"/>
    <w:rsid w:val="00637F46"/>
    <w:rsid w:val="00683862"/>
    <w:rsid w:val="006C28AE"/>
    <w:rsid w:val="006D5E6C"/>
    <w:rsid w:val="0070334F"/>
    <w:rsid w:val="00742D35"/>
    <w:rsid w:val="007A4845"/>
    <w:rsid w:val="007B383C"/>
    <w:rsid w:val="007B78CD"/>
    <w:rsid w:val="007C3E3F"/>
    <w:rsid w:val="007F32FF"/>
    <w:rsid w:val="007F7B36"/>
    <w:rsid w:val="008108BA"/>
    <w:rsid w:val="008F4217"/>
    <w:rsid w:val="009662D2"/>
    <w:rsid w:val="009B57C2"/>
    <w:rsid w:val="009D2855"/>
    <w:rsid w:val="009F563E"/>
    <w:rsid w:val="00A067F8"/>
    <w:rsid w:val="00A4372B"/>
    <w:rsid w:val="00A57558"/>
    <w:rsid w:val="00A75C11"/>
    <w:rsid w:val="00AA76DD"/>
    <w:rsid w:val="00AE0A12"/>
    <w:rsid w:val="00BA4642"/>
    <w:rsid w:val="00BA7387"/>
    <w:rsid w:val="00BB4064"/>
    <w:rsid w:val="00C355AF"/>
    <w:rsid w:val="00C579B5"/>
    <w:rsid w:val="00C73970"/>
    <w:rsid w:val="00CA61E3"/>
    <w:rsid w:val="00DA35B9"/>
    <w:rsid w:val="00DE1A94"/>
    <w:rsid w:val="00DE6282"/>
    <w:rsid w:val="00E123CC"/>
    <w:rsid w:val="00E37BEA"/>
    <w:rsid w:val="00E94400"/>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F162"/>
  <w15:chartTrackingRefBased/>
  <w15:docId w15:val="{89142ADD-8079-4D0F-ACFD-543FFBFC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9B57C2"/>
    <w:rPr>
      <w:color w:val="0000FF" w:themeColor="hyperlink"/>
      <w:u w:val="single"/>
    </w:rPr>
  </w:style>
  <w:style w:type="character" w:styleId="FollowedHyperlink">
    <w:name w:val="FollowedHyperlink"/>
    <w:basedOn w:val="DefaultParagraphFont"/>
    <w:uiPriority w:val="99"/>
    <w:semiHidden/>
    <w:unhideWhenUsed/>
    <w:rsid w:val="007B7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securing-payment-of-utility-char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4B57B5CF334AE2AE78474084EF50C1"/>
        <w:category>
          <w:name w:val="General"/>
          <w:gallery w:val="placeholder"/>
        </w:category>
        <w:types>
          <w:type w:val="bbPlcHdr"/>
        </w:types>
        <w:behaviors>
          <w:behavior w:val="content"/>
        </w:behaviors>
        <w:guid w:val="{AD467ED0-4021-4E12-B312-5DC740C0C32C}"/>
      </w:docPartPr>
      <w:docPartBody>
        <w:p w:rsidR="00DA0C7B" w:rsidRDefault="00DA0C7B">
          <w:pPr>
            <w:pStyle w:val="E04B57B5CF334AE2AE78474084EF50C1"/>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7B"/>
    <w:rsid w:val="00A067F8"/>
    <w:rsid w:val="00DA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B57B5CF334AE2AE78474084EF50C1">
    <w:name w:val="E04B57B5CF334AE2AE78474084EF5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Non-Electric Utility Service Disconnection Notice to Tenants</vt:lpstr>
    </vt:vector>
  </TitlesOfParts>
  <Company>League of Minnesota Cities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Non-Electric Utility Service Disconnection Notice to Tenants</dc:title>
  <dc:subject/>
  <dc:creator>League of Minnesota Cities</dc:creator>
  <cp:keywords/>
  <dc:description/>
  <cp:lastModifiedBy>Schwemmer, Rebecca</cp:lastModifiedBy>
  <cp:revision>9</cp:revision>
  <dcterms:created xsi:type="dcterms:W3CDTF">2017-04-05T18:45:00Z</dcterms:created>
  <dcterms:modified xsi:type="dcterms:W3CDTF">2025-04-21T20:35:00Z</dcterms:modified>
</cp:coreProperties>
</file>