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9B778" w14:textId="77777777" w:rsidR="000D62FC" w:rsidRDefault="00A46858">
      <w:pPr>
        <w:tabs>
          <w:tab w:val="left" w:pos="-1080"/>
          <w:tab w:val="left" w:pos="-720"/>
          <w:tab w:val="left" w:pos="0"/>
          <w:tab w:val="left" w:pos="360"/>
          <w:tab w:val="left" w:pos="720"/>
        </w:tabs>
        <w:suppressAutoHyphens/>
        <w:jc w:val="both"/>
        <w:rPr>
          <w:rFonts w:ascii="Arial" w:hAnsi="Arial"/>
          <w:spacing w:val="-2"/>
          <w:sz w:val="22"/>
        </w:rPr>
      </w:pPr>
      <w:r>
        <w:rPr>
          <w:rFonts w:ascii="Arial" w:hAnsi="Arial"/>
          <w:b/>
          <w:spacing w:val="-2"/>
          <w:sz w:val="22"/>
        </w:rPr>
        <w:t>19</w:t>
      </w:r>
      <w:r w:rsidR="00CA5B7E">
        <w:rPr>
          <w:rFonts w:ascii="Arial" w:hAnsi="Arial"/>
          <w:b/>
          <w:spacing w:val="-2"/>
          <w:sz w:val="22"/>
        </w:rPr>
        <w:t>.</w:t>
      </w:r>
      <w:r w:rsidR="00CA5B7E">
        <w:rPr>
          <w:rFonts w:ascii="Arial" w:hAnsi="Arial"/>
          <w:b/>
          <w:spacing w:val="-2"/>
          <w:sz w:val="22"/>
        </w:rPr>
        <w:tab/>
        <w:t xml:space="preserve">Certificate to </w:t>
      </w:r>
      <w:smartTag w:uri="urn:schemas-microsoft-com:office:smarttags" w:element="place">
        <w:smartTag w:uri="urn:schemas-microsoft-com:office:smarttags" w:element="PlaceType">
          <w:r w:rsidR="00CA5B7E">
            <w:rPr>
              <w:rFonts w:ascii="Arial" w:hAnsi="Arial"/>
              <w:b/>
              <w:spacing w:val="-2"/>
              <w:sz w:val="22"/>
            </w:rPr>
            <w:t>County</w:t>
          </w:r>
        </w:smartTag>
        <w:r w:rsidR="00CA5B7E">
          <w:rPr>
            <w:rFonts w:ascii="Arial" w:hAnsi="Arial"/>
            <w:b/>
            <w:spacing w:val="-2"/>
            <w:sz w:val="22"/>
          </w:rPr>
          <w:t xml:space="preserve"> </w:t>
        </w:r>
        <w:smartTag w:uri="urn:schemas-microsoft-com:office:smarttags" w:element="PlaceName">
          <w:r w:rsidR="00CA5B7E">
            <w:rPr>
              <w:rFonts w:ascii="Arial" w:hAnsi="Arial"/>
              <w:b/>
              <w:spacing w:val="-2"/>
              <w:sz w:val="22"/>
            </w:rPr>
            <w:t>Recorder</w:t>
          </w:r>
        </w:smartTag>
      </w:smartTag>
      <w:r w:rsidR="00CA5B7E">
        <w:rPr>
          <w:rFonts w:ascii="Arial" w:hAnsi="Arial"/>
          <w:b/>
          <w:spacing w:val="-2"/>
          <w:sz w:val="22"/>
        </w:rPr>
        <w:t xml:space="preserve"> of Deferred Assessments</w:t>
      </w:r>
      <w:r w:rsidR="00CA5B7E">
        <w:rPr>
          <w:rStyle w:val="EndnoteReference"/>
          <w:rFonts w:ascii="Arial" w:hAnsi="Arial"/>
          <w:b/>
          <w:spacing w:val="-2"/>
          <w:sz w:val="22"/>
        </w:rPr>
        <w:endnoteReference w:id="2"/>
      </w:r>
    </w:p>
    <w:p w14:paraId="37F02294"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126B5326"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___________________________________</w:t>
      </w:r>
    </w:p>
    <w:p w14:paraId="3A6181F1"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smartTag w:uri="urn:schemas-microsoft-com:office:smarttags" w:element="place">
        <w:smartTag w:uri="urn:schemas-microsoft-com:office:smarttags" w:element="PlaceType">
          <w:r>
            <w:rPr>
              <w:rFonts w:ascii="Arial" w:hAnsi="Arial"/>
              <w:spacing w:val="-2"/>
              <w:sz w:val="22"/>
            </w:rPr>
            <w:t>County</w:t>
          </w:r>
        </w:smartTag>
        <w:r>
          <w:rPr>
            <w:rFonts w:ascii="Arial" w:hAnsi="Arial"/>
            <w:spacing w:val="-2"/>
            <w:sz w:val="22"/>
          </w:rPr>
          <w:t xml:space="preserve"> </w:t>
        </w:r>
        <w:smartTag w:uri="urn:schemas-microsoft-com:office:smarttags" w:element="PlaceName">
          <w:r>
            <w:rPr>
              <w:rFonts w:ascii="Arial" w:hAnsi="Arial"/>
              <w:spacing w:val="-2"/>
              <w:sz w:val="22"/>
            </w:rPr>
            <w:t>Recorder</w:t>
          </w:r>
        </w:smartTag>
      </w:smartTag>
    </w:p>
    <w:p w14:paraId="49C2C9AD"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50BFC47E"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67E1FD06"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___________________________________</w:t>
      </w:r>
    </w:p>
    <w:p w14:paraId="63B4B48E"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County</w:t>
      </w:r>
    </w:p>
    <w:p w14:paraId="267FA293"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098CA5F7"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This is to certify that the attached is a list of each lot, part, or parcel of land</w:t>
      </w:r>
      <w:r>
        <w:rPr>
          <w:rStyle w:val="EndnoteReference"/>
          <w:rFonts w:ascii="Arial" w:hAnsi="Arial"/>
          <w:spacing w:val="-2"/>
          <w:sz w:val="22"/>
        </w:rPr>
        <w:endnoteReference w:id="3"/>
      </w:r>
      <w:r>
        <w:rPr>
          <w:rFonts w:ascii="Arial" w:hAnsi="Arial"/>
          <w:spacing w:val="-2"/>
          <w:sz w:val="22"/>
        </w:rPr>
        <w:t xml:space="preserve"> against which an assessment was levied by the city council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xml:space="preserve"> for Improvement No.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the improvement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Street from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Street to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Street by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pacing w:val="-2"/>
          <w:sz w:val="22"/>
        </w:rPr>
        <w:t xml:space="preserve"> and on which assessment payment in the amount stated as to each property listed has been deferred by the council pursuant to Minn. Stat. § 429.061, </w:t>
      </w:r>
      <w:proofErr w:type="spellStart"/>
      <w:r>
        <w:rPr>
          <w:rFonts w:ascii="Arial" w:hAnsi="Arial"/>
          <w:spacing w:val="-2"/>
          <w:sz w:val="22"/>
        </w:rPr>
        <w:t>subd</w:t>
      </w:r>
      <w:proofErr w:type="spellEnd"/>
      <w:r>
        <w:rPr>
          <w:rFonts w:ascii="Arial" w:hAnsi="Arial"/>
          <w:spacing w:val="-2"/>
          <w:sz w:val="22"/>
        </w:rPr>
        <w:t>. 2. For each lot, part, or parcel the deferment will end _________________.</w:t>
      </w:r>
      <w:r>
        <w:rPr>
          <w:rStyle w:val="EndnoteReference"/>
          <w:rFonts w:ascii="Arial" w:hAnsi="Arial"/>
          <w:spacing w:val="-2"/>
          <w:sz w:val="22"/>
        </w:rPr>
        <w:endnoteReference w:id="4"/>
      </w:r>
      <w:r>
        <w:rPr>
          <w:rFonts w:ascii="Arial" w:hAnsi="Arial"/>
          <w:spacing w:val="-2"/>
          <w:sz w:val="22"/>
        </w:rPr>
        <w:t xml:space="preserve"> </w:t>
      </w:r>
    </w:p>
    <w:p w14:paraId="73C7AFEC"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4EB4DD9B"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u w:val="single"/>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r>
        <w:rPr>
          <w:rFonts w:ascii="Arial" w:hAnsi="Arial"/>
          <w:spacing w:val="-2"/>
          <w:sz w:val="22"/>
          <w:u w:val="single"/>
        </w:rPr>
        <w:tab/>
      </w:r>
    </w:p>
    <w:p w14:paraId="0BA65A4E"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City Clerk</w:t>
      </w:r>
    </w:p>
    <w:p w14:paraId="07E31165"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2D1F05DE"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 xml:space="preserve">____________________, </w:t>
      </w:r>
      <w:smartTag w:uri="urn:schemas-microsoft-com:office:smarttags" w:element="place">
        <w:smartTag w:uri="urn:schemas-microsoft-com:office:smarttags" w:element="State">
          <w:r>
            <w:rPr>
              <w:rFonts w:ascii="Arial" w:hAnsi="Arial"/>
              <w:spacing w:val="-2"/>
              <w:sz w:val="22"/>
            </w:rPr>
            <w:t>Minnesota</w:t>
          </w:r>
        </w:smartTag>
      </w:smartTag>
    </w:p>
    <w:p w14:paraId="1A30D5A4"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5E80ACB3" w14:textId="77777777" w:rsidR="000D62FC" w:rsidRDefault="00CA5B7E">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Dated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096E2ABE"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626A7B16"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2A00E072"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7EAF4D00"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262A062B" w14:textId="77777777" w:rsidR="000D62FC" w:rsidRDefault="000D62FC">
      <w:pPr>
        <w:tabs>
          <w:tab w:val="left" w:pos="-1080"/>
          <w:tab w:val="left" w:pos="-720"/>
          <w:tab w:val="left" w:pos="0"/>
          <w:tab w:val="left" w:pos="360"/>
          <w:tab w:val="left" w:pos="720"/>
        </w:tabs>
        <w:suppressAutoHyphens/>
        <w:jc w:val="both"/>
        <w:rPr>
          <w:rFonts w:ascii="Arial" w:hAnsi="Arial"/>
          <w:spacing w:val="-2"/>
          <w:sz w:val="22"/>
        </w:rPr>
      </w:pPr>
    </w:p>
    <w:p w14:paraId="353B5B31" w14:textId="77777777" w:rsidR="000D62FC" w:rsidRDefault="000D62FC">
      <w:pPr>
        <w:tabs>
          <w:tab w:val="left" w:pos="-1080"/>
          <w:tab w:val="left" w:pos="-720"/>
          <w:tab w:val="left" w:pos="0"/>
          <w:tab w:val="left" w:pos="360"/>
          <w:tab w:val="left" w:pos="720"/>
        </w:tabs>
        <w:suppressAutoHyphens/>
        <w:jc w:val="both"/>
        <w:rPr>
          <w:rFonts w:ascii="Arial" w:hAnsi="Arial"/>
          <w:sz w:val="22"/>
        </w:rPr>
      </w:pPr>
    </w:p>
    <w:p w14:paraId="412629C9" w14:textId="77777777" w:rsidR="000D62FC" w:rsidRDefault="000D62FC">
      <w:pPr>
        <w:tabs>
          <w:tab w:val="left" w:pos="-1080"/>
          <w:tab w:val="left" w:pos="-720"/>
          <w:tab w:val="left" w:pos="0"/>
          <w:tab w:val="left" w:pos="360"/>
          <w:tab w:val="left" w:pos="720"/>
          <w:tab w:val="left" w:pos="5760"/>
        </w:tabs>
        <w:suppressAutoHyphens/>
        <w:jc w:val="both"/>
        <w:rPr>
          <w:rFonts w:ascii="Arial" w:hAnsi="Arial"/>
          <w:spacing w:val="-2"/>
          <w:sz w:val="22"/>
        </w:rPr>
      </w:pPr>
    </w:p>
    <w:p w14:paraId="701DECB1" w14:textId="77777777" w:rsidR="000D62FC" w:rsidRDefault="00CA5B7E">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470E38FD" w14:textId="77777777" w:rsidR="000D62FC" w:rsidRDefault="000D62FC">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0D62FC">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91150" w14:textId="77777777" w:rsidR="000D62FC" w:rsidRDefault="000D62FC">
      <w:pPr>
        <w:spacing w:line="20" w:lineRule="exact"/>
        <w:rPr>
          <w:sz w:val="24"/>
        </w:rPr>
      </w:pPr>
    </w:p>
  </w:endnote>
  <w:endnote w:type="continuationSeparator" w:id="0">
    <w:p w14:paraId="415AA7C1" w14:textId="77777777" w:rsidR="000D62FC" w:rsidRDefault="00CA5B7E">
      <w:r>
        <w:rPr>
          <w:sz w:val="24"/>
        </w:rPr>
        <w:t xml:space="preserve"> </w:t>
      </w:r>
    </w:p>
  </w:endnote>
  <w:endnote w:type="continuationNotice" w:id="1">
    <w:p w14:paraId="02D4D529" w14:textId="77777777" w:rsidR="000D62FC" w:rsidRDefault="00CA5B7E">
      <w:r>
        <w:rPr>
          <w:sz w:val="24"/>
        </w:rPr>
        <w:t xml:space="preserve"> </w:t>
      </w:r>
    </w:p>
  </w:endnote>
  <w:endnote w:id="2">
    <w:p w14:paraId="4BFB05A2" w14:textId="77777777" w:rsidR="000D62FC" w:rsidRDefault="00CA5B7E">
      <w:pPr>
        <w:pStyle w:val="EndnoteText"/>
      </w:pPr>
      <w:r>
        <w:rPr>
          <w:rStyle w:val="EndnoteReference"/>
        </w:rPr>
        <w:endnoteRef/>
      </w:r>
      <w:r>
        <w:t xml:space="preserve"> This certificate is required whenever assessment payments on unimproved property are deferred pursuant to Minn. Stat. § 429.061, </w:t>
      </w:r>
      <w:proofErr w:type="spellStart"/>
      <w:r>
        <w:t>subd</w:t>
      </w:r>
      <w:proofErr w:type="spellEnd"/>
      <w:r>
        <w:t>. 2. It is also required when payment of special assessments is deferred on agricultural land under the green acres law, Minn. Stat. § 273.111. If used in the latter case, the form should be adapted to refer to the proper statute and to make any other necessary changes. In either case the attached list must show each of the affected properties and the amount deferred.</w:t>
      </w:r>
    </w:p>
  </w:endnote>
  <w:endnote w:id="3">
    <w:p w14:paraId="78140432" w14:textId="77777777" w:rsidR="000D62FC" w:rsidRDefault="00CA5B7E">
      <w:pPr>
        <w:pStyle w:val="EndnoteText"/>
      </w:pPr>
      <w:r>
        <w:rPr>
          <w:rStyle w:val="EndnoteReference"/>
        </w:rPr>
        <w:endnoteRef/>
      </w:r>
      <w:r>
        <w:t xml:space="preserve"> The statute calls for a legal description of each.</w:t>
      </w:r>
    </w:p>
  </w:endnote>
  <w:endnote w:id="4">
    <w:p w14:paraId="32F1E508" w14:textId="77777777" w:rsidR="000D62FC" w:rsidRDefault="00CA5B7E">
      <w:pPr>
        <w:pStyle w:val="EndnoteText"/>
      </w:pPr>
      <w:r>
        <w:rPr>
          <w:rStyle w:val="EndnoteReference"/>
        </w:rPr>
        <w:endnoteRef/>
      </w:r>
      <w:r>
        <w:t xml:space="preserve"> It is helpful for title examiners if the condition upon which the deferment will end is provided. Deferment could end in a designated future year, or when the property is platted or improvements are constructed thereon, upon such terms and conditions and based upon such standards and criteria as may be provided by resolution of the council.</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2BE9" w14:textId="77777777" w:rsidR="000D62FC" w:rsidRDefault="000D62FC">
    <w:pPr>
      <w:pStyle w:val="Footer"/>
      <w:tabs>
        <w:tab w:val="clear" w:pos="8640"/>
        <w:tab w:val="right" w:pos="9360"/>
      </w:tabs>
      <w:ind w:right="360"/>
      <w:rPr>
        <w:rStyle w:val="PageNumber"/>
        <w:rFonts w:ascii="Times New Roman" w:hAnsi="Times New Roman"/>
        <w:sz w:val="18"/>
      </w:rPr>
    </w:pPr>
  </w:p>
  <w:p w14:paraId="385246C9" w14:textId="77777777" w:rsidR="000D62FC" w:rsidRDefault="00CA5B7E">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C91D" w14:textId="21B8172E" w:rsidR="0054666C" w:rsidRPr="0054666C" w:rsidRDefault="0054666C">
    <w:pPr>
      <w:pStyle w:val="Footer"/>
      <w:rPr>
        <w:rFonts w:ascii="Arial" w:hAnsi="Arial" w:cs="Arial"/>
        <w:sz w:val="16"/>
        <w:szCs w:val="16"/>
      </w:rPr>
    </w:pPr>
    <w:r>
      <w:rPr>
        <w:rFonts w:ascii="Arial" w:hAnsi="Arial" w:cs="Arial"/>
        <w:sz w:val="16"/>
        <w:szCs w:val="16"/>
      </w:rPr>
      <w:t>Special Assessment Toolkit</w:t>
    </w:r>
    <w:r w:rsidRPr="0054666C">
      <w:rPr>
        <w:rFonts w:ascii="Arial" w:hAnsi="Arial" w:cs="Arial"/>
        <w:sz w:val="16"/>
        <w:szCs w:val="16"/>
      </w:rPr>
      <w:ptab w:relativeTo="margin" w:alignment="center" w:leader="none"/>
    </w:r>
    <w:r>
      <w:rPr>
        <w:rFonts w:ascii="Arial" w:hAnsi="Arial" w:cs="Arial"/>
        <w:sz w:val="16"/>
        <w:szCs w:val="16"/>
      </w:rPr>
      <w:t xml:space="preserve">Based on </w:t>
    </w:r>
    <w:proofErr w:type="spellStart"/>
    <w:r>
      <w:rPr>
        <w:rFonts w:ascii="Arial" w:hAnsi="Arial" w:cs="Arial"/>
        <w:sz w:val="16"/>
        <w:szCs w:val="16"/>
      </w:rPr>
      <w:t>m.S.</w:t>
    </w:r>
    <w:proofErr w:type="spellEnd"/>
    <w:r>
      <w:rPr>
        <w:rFonts w:ascii="Arial" w:hAnsi="Arial" w:cs="Arial"/>
        <w:sz w:val="16"/>
        <w:szCs w:val="16"/>
      </w:rPr>
      <w:t xml:space="preserve"> 429.061, </w:t>
    </w:r>
    <w:proofErr w:type="spellStart"/>
    <w:r>
      <w:rPr>
        <w:rFonts w:ascii="Arial" w:hAnsi="Arial" w:cs="Arial"/>
        <w:sz w:val="16"/>
        <w:szCs w:val="16"/>
      </w:rPr>
      <w:t>subd</w:t>
    </w:r>
    <w:proofErr w:type="spellEnd"/>
    <w:r>
      <w:rPr>
        <w:rFonts w:ascii="Arial" w:hAnsi="Arial" w:cs="Arial"/>
        <w:sz w:val="16"/>
        <w:szCs w:val="16"/>
      </w:rPr>
      <w:t>. 2</w:t>
    </w:r>
    <w:r w:rsidRPr="0054666C">
      <w:rPr>
        <w:rFonts w:ascii="Arial" w:hAnsi="Arial" w:cs="Arial"/>
        <w:sz w:val="16"/>
        <w:szCs w:val="16"/>
      </w:rPr>
      <w:ptab w:relativeTo="margin" w:alignment="right" w:leader="none"/>
    </w:r>
    <w:r w:rsidR="00754B7C">
      <w:rPr>
        <w:rFonts w:ascii="Arial" w:hAnsi="Arial" w:cs="Arial"/>
        <w:sz w:val="16"/>
        <w:szCs w:val="16"/>
      </w:rPr>
      <w:t>8</w:t>
    </w:r>
    <w:r>
      <w:rPr>
        <w:rFonts w:ascii="Arial" w:hAnsi="Arial" w:cs="Arial"/>
        <w:sz w:val="16"/>
        <w:szCs w:val="16"/>
      </w:rPr>
      <w:t>/</w:t>
    </w:r>
    <w:r w:rsidR="004E5B06">
      <w:rPr>
        <w:rFonts w:ascii="Arial" w:hAnsi="Arial" w:cs="Arial"/>
        <w:sz w:val="16"/>
        <w:szCs w:val="16"/>
      </w:rPr>
      <w:t>3</w:t>
    </w:r>
    <w:r w:rsidR="00754B7C">
      <w:rPr>
        <w:rFonts w:ascii="Arial" w:hAnsi="Arial" w:cs="Arial"/>
        <w:sz w:val="16"/>
        <w:szCs w:val="16"/>
      </w:rPr>
      <w:t>1</w:t>
    </w:r>
    <w:r>
      <w:rPr>
        <w:rFonts w:ascii="Arial" w:hAnsi="Arial" w:cs="Arial"/>
        <w:sz w:val="16"/>
        <w:szCs w:val="16"/>
      </w:rPr>
      <w:t>/20</w:t>
    </w:r>
    <w:r w:rsidR="00754B7C">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D10F7" w14:textId="77777777" w:rsidR="000D62FC" w:rsidRDefault="00CA5B7E">
      <w:r>
        <w:rPr>
          <w:sz w:val="24"/>
        </w:rPr>
        <w:separator/>
      </w:r>
    </w:p>
  </w:footnote>
  <w:footnote w:type="continuationSeparator" w:id="0">
    <w:p w14:paraId="16E0865F" w14:textId="77777777" w:rsidR="000D62FC" w:rsidRDefault="00CA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7E"/>
    <w:rsid w:val="000D62FC"/>
    <w:rsid w:val="00444063"/>
    <w:rsid w:val="004E5B06"/>
    <w:rsid w:val="0054666C"/>
    <w:rsid w:val="00754B7C"/>
    <w:rsid w:val="00A46858"/>
    <w:rsid w:val="00A879CD"/>
    <w:rsid w:val="00CA5B7E"/>
    <w:rsid w:val="00CD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8F10D3C"/>
  <w15:chartTrackingRefBased/>
  <w15:docId w15:val="{CFA85AF1-A944-4EFB-82E8-60811DD4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9</cp:revision>
  <cp:lastPrinted>2008-01-23T18:44:00Z</cp:lastPrinted>
  <dcterms:created xsi:type="dcterms:W3CDTF">2014-07-07T20:47:00Z</dcterms:created>
  <dcterms:modified xsi:type="dcterms:W3CDTF">2020-09-17T18:02:00Z</dcterms:modified>
</cp:coreProperties>
</file>