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9BFF" w14:textId="77777777" w:rsidR="00AE0A12" w:rsidRDefault="00C8718E">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BE49756479AF40FDBEAFFD8CE709722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D31D6">
            <w:rPr>
              <w:rStyle w:val="FooterChar"/>
              <w:rFonts w:ascii="Arial" w:eastAsia="Arial" w:hAnsi="Arial" w:cs="Arial"/>
              <w:b/>
              <w:sz w:val="28"/>
              <w:szCs w:val="28"/>
            </w:rPr>
            <w:t>Employee Orientation Checklist</w:t>
          </w:r>
        </w:sdtContent>
      </w:sdt>
      <w:r w:rsidR="007A4845">
        <w:rPr>
          <w:rStyle w:val="FooterChar"/>
          <w:rFonts w:ascii="Arial" w:eastAsia="Arial" w:hAnsi="Arial" w:cs="Arial"/>
          <w:b/>
          <w:sz w:val="28"/>
          <w:szCs w:val="28"/>
        </w:rPr>
        <w:t>, LMC Model</w:t>
      </w:r>
      <w:r w:rsidR="004E2D68">
        <w:rPr>
          <w:rStyle w:val="FooterChar"/>
          <w:rFonts w:ascii="Arial" w:eastAsia="Arial" w:hAnsi="Arial" w:cs="Arial"/>
          <w:b/>
          <w:sz w:val="28"/>
          <w:szCs w:val="28"/>
        </w:rPr>
        <w:t xml:space="preserve"> Form</w:t>
      </w:r>
    </w:p>
    <w:p w14:paraId="18E85E81" w14:textId="77777777" w:rsidR="007A4845" w:rsidRDefault="007A4845">
      <w:pPr>
        <w:rPr>
          <w:rStyle w:val="FooterChar"/>
          <w:rFonts w:eastAsia="Arial"/>
          <w:b/>
        </w:rPr>
      </w:pPr>
    </w:p>
    <w:p w14:paraId="257E3EAD" w14:textId="100DF8BE" w:rsidR="0087301D" w:rsidRPr="00A6165F" w:rsidRDefault="007A4845" w:rsidP="0087301D">
      <w:pPr>
        <w:rPr>
          <w:sz w:val="22"/>
          <w:szCs w:val="22"/>
        </w:rPr>
      </w:pPr>
      <w:r w:rsidRPr="007A4845">
        <w:rPr>
          <w:i/>
          <w:sz w:val="22"/>
          <w:szCs w:val="22"/>
        </w:rPr>
        <w:t xml:space="preserve">Helpful background information on this model may be found </w:t>
      </w:r>
      <w:r w:rsidR="00307F09">
        <w:rPr>
          <w:i/>
          <w:sz w:val="22"/>
          <w:szCs w:val="22"/>
        </w:rPr>
        <w:t xml:space="preserve">in </w:t>
      </w:r>
      <w:r w:rsidR="0087301D">
        <w:rPr>
          <w:i/>
          <w:sz w:val="22"/>
          <w:szCs w:val="22"/>
        </w:rPr>
        <w:t xml:space="preserve">the </w:t>
      </w:r>
      <w:hyperlink r:id="rId8" w:history="1">
        <w:r w:rsidR="0087301D" w:rsidRPr="00A6165F">
          <w:rPr>
            <w:rStyle w:val="Hyperlink"/>
            <w:i/>
            <w:sz w:val="22"/>
            <w:szCs w:val="22"/>
          </w:rPr>
          <w:t>Hiring Chapter</w:t>
        </w:r>
      </w:hyperlink>
      <w:r w:rsidR="0087301D">
        <w:rPr>
          <w:i/>
          <w:sz w:val="22"/>
          <w:szCs w:val="22"/>
        </w:rPr>
        <w:t xml:space="preserve"> of the Human Resources Reference </w:t>
      </w:r>
      <w:r w:rsidR="0087301D" w:rsidRPr="00A6165F">
        <w:rPr>
          <w:i/>
          <w:sz w:val="22"/>
          <w:szCs w:val="22"/>
        </w:rPr>
        <w:t>Manual.</w:t>
      </w:r>
    </w:p>
    <w:p w14:paraId="77373515" w14:textId="77777777" w:rsidR="00003DF6" w:rsidRDefault="00003DF6" w:rsidP="007A4845">
      <w:pPr>
        <w:rPr>
          <w:sz w:val="22"/>
          <w:szCs w:val="22"/>
        </w:rPr>
      </w:pPr>
    </w:p>
    <w:p w14:paraId="1BFC5659" w14:textId="77777777" w:rsidR="0087301D" w:rsidRDefault="0087301D" w:rsidP="0087301D">
      <w:r w:rsidRPr="00D25DA0">
        <w:t>The following list has been developed to emphasize the importance of planning ahead for the arrival of a new employee. Studies show employees who are well informed about the organization they work for and are clear about what the organization expects of them are more productive employees in the long run. The employee orientation is a great place to start shari</w:t>
      </w:r>
      <w:r>
        <w:t>ng information and expectations.</w:t>
      </w:r>
      <w:r w:rsidR="004E2D68">
        <w:t xml:space="preserve"> </w:t>
      </w:r>
      <w:r>
        <w:t xml:space="preserve">It is also important to build a positive rapport, establish a personal connection and create a welcoming environment. </w:t>
      </w:r>
    </w:p>
    <w:p w14:paraId="3A896794" w14:textId="77777777" w:rsidR="0087301D" w:rsidRDefault="0087301D" w:rsidP="0087301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
        <w:gridCol w:w="8267"/>
      </w:tblGrid>
      <w:tr w:rsidR="0087301D" w:rsidRPr="00D25DA0" w14:paraId="6A10EC25" w14:textId="77777777" w:rsidTr="00C8718E">
        <w:trPr>
          <w:cantSplit/>
          <w:trHeight w:val="317"/>
        </w:trPr>
        <w:tc>
          <w:tcPr>
            <w:tcW w:w="885" w:type="dxa"/>
            <w:gridSpan w:val="2"/>
          </w:tcPr>
          <w:p w14:paraId="44576B09" w14:textId="77777777" w:rsidR="0087301D" w:rsidRDefault="0087301D" w:rsidP="00D509E3">
            <w:pPr>
              <w:keepNext/>
              <w:contextualSpacing/>
              <w:jc w:val="center"/>
            </w:pPr>
          </w:p>
          <w:p w14:paraId="68B2230A" w14:textId="77777777" w:rsidR="0087301D" w:rsidRPr="005439EA" w:rsidRDefault="0087301D" w:rsidP="00D509E3">
            <w:pPr>
              <w:keepNext/>
              <w:contextualSpacing/>
              <w:jc w:val="center"/>
              <w:rPr>
                <w:sz w:val="32"/>
                <w:szCs w:val="32"/>
              </w:rPr>
            </w:pPr>
            <w:r w:rsidRPr="005439EA">
              <w:rPr>
                <w:sz w:val="32"/>
                <w:szCs w:val="32"/>
              </w:rPr>
              <w:sym w:font="Wingdings" w:char="F071"/>
            </w:r>
          </w:p>
        </w:tc>
        <w:tc>
          <w:tcPr>
            <w:tcW w:w="8267" w:type="dxa"/>
            <w:tcMar>
              <w:left w:w="432" w:type="dxa"/>
              <w:right w:w="115" w:type="dxa"/>
            </w:tcMar>
          </w:tcPr>
          <w:p w14:paraId="14F7309E" w14:textId="77777777" w:rsidR="0087301D" w:rsidRPr="00D25DA0" w:rsidRDefault="0087301D" w:rsidP="00D509E3">
            <w:pPr>
              <w:keepNext/>
              <w:numPr>
                <w:ilvl w:val="2"/>
                <w:numId w:val="0"/>
              </w:numPr>
              <w:spacing w:before="240"/>
              <w:ind w:left="576" w:hanging="576"/>
              <w:outlineLvl w:val="2"/>
              <w:rPr>
                <w:rFonts w:ascii="Arial" w:hAnsi="Arial" w:cs="Arial"/>
                <w:b/>
                <w:kern w:val="32"/>
                <w:sz w:val="28"/>
                <w:szCs w:val="26"/>
              </w:rPr>
            </w:pPr>
            <w:r w:rsidRPr="00D25DA0">
              <w:rPr>
                <w:rFonts w:ascii="Arial" w:hAnsi="Arial" w:cs="Arial"/>
                <w:b/>
                <w:kern w:val="32"/>
                <w:sz w:val="28"/>
                <w:szCs w:val="26"/>
              </w:rPr>
              <w:t>Update Current Employees</w:t>
            </w:r>
          </w:p>
        </w:tc>
      </w:tr>
      <w:tr w:rsidR="0087301D" w:rsidRPr="00D25DA0" w14:paraId="0619ACD6" w14:textId="77777777" w:rsidTr="00C8718E">
        <w:trPr>
          <w:cantSplit/>
          <w:trHeight w:val="2358"/>
        </w:trPr>
        <w:tc>
          <w:tcPr>
            <w:tcW w:w="885" w:type="dxa"/>
            <w:gridSpan w:val="2"/>
          </w:tcPr>
          <w:p w14:paraId="264043F9" w14:textId="77777777" w:rsidR="0087301D" w:rsidRPr="005439EA" w:rsidRDefault="0087301D" w:rsidP="00D509E3">
            <w:pPr>
              <w:contextualSpacing/>
              <w:jc w:val="center"/>
            </w:pPr>
          </w:p>
        </w:tc>
        <w:tc>
          <w:tcPr>
            <w:tcW w:w="8267" w:type="dxa"/>
            <w:tcMar>
              <w:left w:w="432" w:type="dxa"/>
              <w:right w:w="115" w:type="dxa"/>
            </w:tcMar>
          </w:tcPr>
          <w:p w14:paraId="0A7C7CF4" w14:textId="77777777" w:rsidR="0087301D" w:rsidRDefault="0087301D" w:rsidP="00D509E3">
            <w:pPr>
              <w:widowControl w:val="0"/>
            </w:pPr>
            <w:r>
              <w:t>Let current employees know:</w:t>
            </w:r>
          </w:p>
          <w:p w14:paraId="64D259C8" w14:textId="77777777" w:rsidR="0087301D" w:rsidRPr="005A4147" w:rsidRDefault="0087301D" w:rsidP="00D509E3">
            <w:pPr>
              <w:pStyle w:val="Bullet"/>
            </w:pPr>
            <w:r w:rsidRPr="005A4147">
              <w:t>The name of new employee</w:t>
            </w:r>
          </w:p>
          <w:p w14:paraId="74CB2FE2" w14:textId="77777777" w:rsidR="0087301D" w:rsidRPr="005A4147" w:rsidRDefault="0087301D" w:rsidP="00D509E3">
            <w:pPr>
              <w:pStyle w:val="Bullet"/>
            </w:pPr>
            <w:r w:rsidRPr="005A4147">
              <w:t>The new employee’s job title and overview of responsibilities</w:t>
            </w:r>
          </w:p>
          <w:p w14:paraId="31F8F653" w14:textId="77777777" w:rsidR="0087301D" w:rsidRPr="005A4147" w:rsidRDefault="0087301D" w:rsidP="00D509E3">
            <w:pPr>
              <w:pStyle w:val="Bullet"/>
            </w:pPr>
            <w:r w:rsidRPr="005A4147">
              <w:t>The new employee’s last place of work</w:t>
            </w:r>
          </w:p>
          <w:p w14:paraId="370EA67E" w14:textId="77777777" w:rsidR="0087301D" w:rsidRPr="005A4147" w:rsidRDefault="0087301D" w:rsidP="00D509E3">
            <w:pPr>
              <w:pStyle w:val="Bullet"/>
            </w:pPr>
            <w:r w:rsidRPr="005A4147">
              <w:t>The new employee’s start date</w:t>
            </w:r>
          </w:p>
          <w:p w14:paraId="48160F88" w14:textId="77777777" w:rsidR="0087301D" w:rsidRDefault="0087301D" w:rsidP="00D509E3">
            <w:pPr>
              <w:pStyle w:val="Bullet"/>
            </w:pPr>
            <w:r w:rsidRPr="005A4147">
              <w:t>The office location, phone extension, and email address of the new employee</w:t>
            </w:r>
          </w:p>
          <w:p w14:paraId="115EB37E" w14:textId="77777777" w:rsidR="0087301D" w:rsidRPr="005A4147" w:rsidRDefault="0087301D" w:rsidP="00D509E3">
            <w:pPr>
              <w:pStyle w:val="Bullet"/>
            </w:pPr>
            <w:r>
              <w:t>They may be contacted as part of the new employees training process and a timely response is needed to expedite the process</w:t>
            </w:r>
          </w:p>
          <w:p w14:paraId="1DF2C91A" w14:textId="0E5B7BEB" w:rsidR="0087301D" w:rsidRPr="009D31D6" w:rsidRDefault="0087301D" w:rsidP="009D31D6">
            <w:pPr>
              <w:pStyle w:val="Bullet"/>
            </w:pPr>
            <w:r w:rsidRPr="005A4147">
              <w:t>Establish training team/buddy for the new employee</w:t>
            </w:r>
          </w:p>
        </w:tc>
      </w:tr>
      <w:tr w:rsidR="0087301D" w:rsidRPr="00D25DA0" w14:paraId="644F9ACC" w14:textId="77777777" w:rsidTr="00C8718E">
        <w:trPr>
          <w:cantSplit/>
          <w:trHeight w:val="317"/>
        </w:trPr>
        <w:tc>
          <w:tcPr>
            <w:tcW w:w="885" w:type="dxa"/>
            <w:gridSpan w:val="2"/>
          </w:tcPr>
          <w:p w14:paraId="22083EAC" w14:textId="77777777" w:rsidR="0087301D" w:rsidRPr="005439EA" w:rsidRDefault="0087301D" w:rsidP="00D509E3">
            <w:pPr>
              <w:keepNext/>
              <w:contextualSpacing/>
              <w:jc w:val="center"/>
            </w:pPr>
          </w:p>
          <w:p w14:paraId="3159176A" w14:textId="77777777" w:rsidR="0087301D" w:rsidRPr="005439EA" w:rsidRDefault="0087301D" w:rsidP="00D509E3">
            <w:pPr>
              <w:keepNext/>
              <w:contextualSpacing/>
              <w:jc w:val="center"/>
            </w:pPr>
            <w:r w:rsidRPr="005439EA">
              <w:rPr>
                <w:sz w:val="32"/>
                <w:szCs w:val="32"/>
              </w:rPr>
              <w:sym w:font="Wingdings" w:char="F071"/>
            </w:r>
          </w:p>
        </w:tc>
        <w:tc>
          <w:tcPr>
            <w:tcW w:w="8267" w:type="dxa"/>
            <w:tcMar>
              <w:left w:w="432" w:type="dxa"/>
              <w:right w:w="115" w:type="dxa"/>
            </w:tcMar>
          </w:tcPr>
          <w:p w14:paraId="41E4098F" w14:textId="77777777" w:rsidR="0087301D" w:rsidRPr="00D25DA0" w:rsidRDefault="0087301D" w:rsidP="00D509E3">
            <w:pPr>
              <w:keepNext/>
              <w:numPr>
                <w:ilvl w:val="2"/>
                <w:numId w:val="0"/>
              </w:numPr>
              <w:spacing w:before="240"/>
              <w:ind w:left="576" w:hanging="576"/>
              <w:outlineLvl w:val="2"/>
              <w:rPr>
                <w:rFonts w:ascii="Arial" w:hAnsi="Arial" w:cs="Arial"/>
                <w:b/>
                <w:kern w:val="32"/>
                <w:sz w:val="28"/>
                <w:szCs w:val="26"/>
              </w:rPr>
            </w:pPr>
            <w:r w:rsidRPr="00D25DA0">
              <w:rPr>
                <w:rFonts w:ascii="Arial" w:hAnsi="Arial" w:cs="Arial"/>
                <w:b/>
                <w:kern w:val="32"/>
                <w:sz w:val="28"/>
                <w:szCs w:val="26"/>
              </w:rPr>
              <w:t>Organization</w:t>
            </w:r>
            <w:r>
              <w:rPr>
                <w:rFonts w:ascii="Arial" w:hAnsi="Arial" w:cs="Arial"/>
                <w:b/>
                <w:kern w:val="32"/>
                <w:sz w:val="28"/>
                <w:szCs w:val="26"/>
              </w:rPr>
              <w:t>al Matters</w:t>
            </w:r>
          </w:p>
        </w:tc>
      </w:tr>
      <w:tr w:rsidR="0087301D" w:rsidRPr="00D25DA0" w14:paraId="60EF499E" w14:textId="77777777" w:rsidTr="00C8718E">
        <w:trPr>
          <w:cantSplit/>
          <w:trHeight w:val="317"/>
        </w:trPr>
        <w:tc>
          <w:tcPr>
            <w:tcW w:w="885" w:type="dxa"/>
            <w:gridSpan w:val="2"/>
          </w:tcPr>
          <w:p w14:paraId="5CF27ADF" w14:textId="77777777" w:rsidR="0087301D" w:rsidRPr="005439EA" w:rsidRDefault="0087301D" w:rsidP="009F1D93">
            <w:pPr>
              <w:contextualSpacing/>
              <w:jc w:val="center"/>
            </w:pPr>
          </w:p>
        </w:tc>
        <w:tc>
          <w:tcPr>
            <w:tcW w:w="8267" w:type="dxa"/>
            <w:tcMar>
              <w:left w:w="432" w:type="dxa"/>
              <w:right w:w="115" w:type="dxa"/>
            </w:tcMar>
          </w:tcPr>
          <w:p w14:paraId="5D609307" w14:textId="77777777" w:rsidR="0087301D" w:rsidRDefault="0087301D" w:rsidP="009F1D93">
            <w:pPr>
              <w:widowControl w:val="0"/>
            </w:pPr>
            <w:r>
              <w:t>Let the new employee know about:</w:t>
            </w:r>
          </w:p>
          <w:p w14:paraId="5CF56176" w14:textId="77777777" w:rsidR="0087301D" w:rsidRPr="005A4147" w:rsidRDefault="0087301D" w:rsidP="009F1D93">
            <w:pPr>
              <w:pStyle w:val="Bullet"/>
            </w:pPr>
            <w:r w:rsidRPr="005A4147">
              <w:t>The differences between public versus private employment</w:t>
            </w:r>
          </w:p>
          <w:p w14:paraId="4CA8D79D" w14:textId="77777777" w:rsidR="0087301D" w:rsidRPr="005A4147" w:rsidRDefault="0087301D" w:rsidP="009F1D93">
            <w:pPr>
              <w:pStyle w:val="Bullet"/>
            </w:pPr>
            <w:r w:rsidRPr="005A4147">
              <w:t>City services</w:t>
            </w:r>
          </w:p>
          <w:p w14:paraId="04648385" w14:textId="1BFD3E5E" w:rsidR="0087301D" w:rsidRDefault="0087301D" w:rsidP="009F1D93">
            <w:pPr>
              <w:pStyle w:val="Bullet"/>
            </w:pPr>
            <w:r w:rsidRPr="005A4147">
              <w:t>City council and other city boards/commissions</w:t>
            </w:r>
            <w:r w:rsidR="00A177A9">
              <w:t>, including city council meeting calendar dates</w:t>
            </w:r>
          </w:p>
          <w:p w14:paraId="5D4E6521" w14:textId="7F47317F" w:rsidR="00A177A9" w:rsidRPr="005A4147" w:rsidRDefault="00A177A9" w:rsidP="009F1D93">
            <w:pPr>
              <w:pStyle w:val="Bullet"/>
            </w:pPr>
            <w:r>
              <w:t>Organizational chart if one is available</w:t>
            </w:r>
          </w:p>
          <w:p w14:paraId="345C6099" w14:textId="77777777" w:rsidR="0087301D" w:rsidRDefault="0087301D" w:rsidP="009F1D93">
            <w:pPr>
              <w:pStyle w:val="Bullet"/>
            </w:pPr>
            <w:r w:rsidRPr="00D25DA0">
              <w:t>Introduc</w:t>
            </w:r>
            <w:r>
              <w:t xml:space="preserve">e the new employee </w:t>
            </w:r>
            <w:r w:rsidRPr="00D25DA0">
              <w:t>to city staff</w:t>
            </w:r>
          </w:p>
          <w:p w14:paraId="5FA53BAD" w14:textId="3C1D971A" w:rsidR="00F458B0" w:rsidRPr="009D31D6" w:rsidRDefault="0087301D" w:rsidP="009F1D93">
            <w:pPr>
              <w:pStyle w:val="Bullet"/>
            </w:pPr>
            <w:r>
              <w:t>Provide the new employee with a t</w:t>
            </w:r>
            <w:r w:rsidRPr="00D25DA0">
              <w:t xml:space="preserve">our of </w:t>
            </w:r>
            <w:r>
              <w:t>city offices and facilities</w:t>
            </w:r>
          </w:p>
        </w:tc>
      </w:tr>
      <w:tr w:rsidR="0087301D" w:rsidRPr="00D25DA0" w14:paraId="2E1F6E0F" w14:textId="77777777" w:rsidTr="00C8718E">
        <w:trPr>
          <w:cantSplit/>
          <w:trHeight w:val="540"/>
        </w:trPr>
        <w:tc>
          <w:tcPr>
            <w:tcW w:w="885" w:type="dxa"/>
            <w:gridSpan w:val="2"/>
          </w:tcPr>
          <w:p w14:paraId="56E81035" w14:textId="77777777" w:rsidR="0087301D" w:rsidRDefault="0087301D" w:rsidP="009F1D93">
            <w:pPr>
              <w:contextualSpacing/>
              <w:jc w:val="center"/>
            </w:pPr>
          </w:p>
          <w:p w14:paraId="0A261DFA" w14:textId="7D6AB699" w:rsidR="0087301D" w:rsidRPr="005439EA" w:rsidRDefault="00001935" w:rsidP="009F1D93">
            <w:pPr>
              <w:contextualSpacing/>
            </w:pPr>
            <w:r w:rsidRPr="005439EA">
              <w:rPr>
                <w:sz w:val="32"/>
                <w:szCs w:val="32"/>
              </w:rPr>
              <w:sym w:font="Wingdings" w:char="F071"/>
            </w:r>
          </w:p>
        </w:tc>
        <w:tc>
          <w:tcPr>
            <w:tcW w:w="8267" w:type="dxa"/>
            <w:tcMar>
              <w:left w:w="432" w:type="dxa"/>
              <w:right w:w="115" w:type="dxa"/>
            </w:tcMar>
          </w:tcPr>
          <w:p w14:paraId="7358BB89" w14:textId="77777777" w:rsidR="0087301D" w:rsidRPr="00EE7870" w:rsidRDefault="0087301D" w:rsidP="009F1D93">
            <w:pPr>
              <w:numPr>
                <w:ilvl w:val="2"/>
                <w:numId w:val="0"/>
              </w:numPr>
              <w:spacing w:before="240"/>
              <w:ind w:left="576" w:hanging="576"/>
              <w:outlineLvl w:val="2"/>
              <w:rPr>
                <w:rFonts w:ascii="Arial" w:hAnsi="Arial" w:cs="Arial"/>
                <w:b/>
                <w:kern w:val="32"/>
                <w:sz w:val="28"/>
                <w:szCs w:val="26"/>
              </w:rPr>
            </w:pPr>
            <w:r w:rsidRPr="00EE7870">
              <w:rPr>
                <w:rFonts w:ascii="Arial" w:hAnsi="Arial" w:cs="Arial"/>
                <w:b/>
                <w:kern w:val="32"/>
                <w:sz w:val="28"/>
                <w:szCs w:val="26"/>
              </w:rPr>
              <w:t>Individual Employee</w:t>
            </w:r>
          </w:p>
        </w:tc>
      </w:tr>
      <w:tr w:rsidR="009F1D93" w:rsidRPr="00D25DA0" w14:paraId="04ACE128" w14:textId="77777777" w:rsidTr="00C8718E">
        <w:trPr>
          <w:cantSplit/>
          <w:trHeight w:val="540"/>
        </w:trPr>
        <w:tc>
          <w:tcPr>
            <w:tcW w:w="885" w:type="dxa"/>
            <w:gridSpan w:val="2"/>
          </w:tcPr>
          <w:p w14:paraId="5326E9C0" w14:textId="77777777" w:rsidR="009F1D93" w:rsidRDefault="009F1D93" w:rsidP="009F1D93">
            <w:pPr>
              <w:contextualSpacing/>
              <w:jc w:val="center"/>
            </w:pPr>
          </w:p>
        </w:tc>
        <w:tc>
          <w:tcPr>
            <w:tcW w:w="8267" w:type="dxa"/>
            <w:tcMar>
              <w:left w:w="432" w:type="dxa"/>
              <w:right w:w="115" w:type="dxa"/>
            </w:tcMar>
          </w:tcPr>
          <w:p w14:paraId="16CCC186" w14:textId="77777777" w:rsidR="009F1D93" w:rsidRPr="005A4147" w:rsidRDefault="009F1D93" w:rsidP="009F1D93">
            <w:pPr>
              <w:pStyle w:val="Bullet"/>
            </w:pPr>
            <w:r w:rsidRPr="005A4147">
              <w:t xml:space="preserve">Provide a copy of the employee’s job description </w:t>
            </w:r>
          </w:p>
          <w:p w14:paraId="4828EDC6" w14:textId="31B59721" w:rsidR="009F1D93" w:rsidRPr="005A4147" w:rsidRDefault="009F1D93" w:rsidP="009F1D93">
            <w:pPr>
              <w:pStyle w:val="Bullet"/>
            </w:pPr>
            <w:r w:rsidRPr="005A4147">
              <w:t>The employee’s supervisor should discuss expectations</w:t>
            </w:r>
            <w:r w:rsidR="0053320E">
              <w:t xml:space="preserve"> and goal objectives</w:t>
            </w:r>
            <w:r w:rsidRPr="005A4147">
              <w:t xml:space="preserve"> </w:t>
            </w:r>
            <w:r w:rsidR="00EE7870">
              <w:t>for</w:t>
            </w:r>
            <w:r w:rsidRPr="005A4147">
              <w:t xml:space="preserve"> individual and department</w:t>
            </w:r>
            <w:r w:rsidR="00EE7870">
              <w:t>.</w:t>
            </w:r>
            <w:r>
              <w:t xml:space="preserve"> both verbally and in writing</w:t>
            </w:r>
          </w:p>
          <w:p w14:paraId="16E25A3F" w14:textId="0E07F95D" w:rsidR="0053320E" w:rsidRPr="009F1D93" w:rsidRDefault="009F1D93" w:rsidP="00DE1272">
            <w:pPr>
              <w:pStyle w:val="Bullet"/>
            </w:pPr>
            <w:r w:rsidRPr="005A4147">
              <w:t>Discuss how to avoid any conflict of interest according to state law or city policy</w:t>
            </w:r>
          </w:p>
        </w:tc>
      </w:tr>
      <w:tr w:rsidR="0087301D" w:rsidRPr="00D25DA0" w14:paraId="4C8F63BC" w14:textId="77777777" w:rsidTr="00C8718E">
        <w:trPr>
          <w:cantSplit/>
          <w:trHeight w:val="317"/>
        </w:trPr>
        <w:tc>
          <w:tcPr>
            <w:tcW w:w="885" w:type="dxa"/>
            <w:gridSpan w:val="2"/>
          </w:tcPr>
          <w:p w14:paraId="06CDEF86" w14:textId="77777777" w:rsidR="0087301D" w:rsidRPr="005439EA" w:rsidRDefault="0087301D" w:rsidP="00D509E3">
            <w:pPr>
              <w:contextualSpacing/>
              <w:jc w:val="center"/>
            </w:pPr>
          </w:p>
        </w:tc>
        <w:tc>
          <w:tcPr>
            <w:tcW w:w="8267" w:type="dxa"/>
            <w:tcMar>
              <w:left w:w="432" w:type="dxa"/>
              <w:right w:w="115" w:type="dxa"/>
            </w:tcMar>
          </w:tcPr>
          <w:p w14:paraId="31BA3E0C" w14:textId="77777777" w:rsidR="00DE1272" w:rsidRDefault="00DE1272" w:rsidP="00DE1272">
            <w:pPr>
              <w:pStyle w:val="Bullet"/>
            </w:pPr>
            <w:r w:rsidRPr="0031086B">
              <w:t>An overview of the department's mission, values and key policies.</w:t>
            </w:r>
          </w:p>
          <w:p w14:paraId="50EB2814" w14:textId="77777777" w:rsidR="00DE1272" w:rsidRDefault="00DE1272" w:rsidP="00DE1272">
            <w:pPr>
              <w:pStyle w:val="Bullet"/>
            </w:pPr>
            <w:r w:rsidRPr="005A4147">
              <w:t>Explain roles of others in the department or city with whom the employee will routinely interact</w:t>
            </w:r>
          </w:p>
          <w:p w14:paraId="0FE07A23" w14:textId="686D594F" w:rsidR="00DE1272" w:rsidRDefault="00DE1272" w:rsidP="00DE1272">
            <w:pPr>
              <w:pStyle w:val="Bullet"/>
            </w:pPr>
            <w:r>
              <w:t>Do you need to cover any s</w:t>
            </w:r>
            <w:r w:rsidRPr="0053320E">
              <w:t xml:space="preserve">pecialized training necessary for employees to be successful in </w:t>
            </w:r>
            <w:r>
              <w:t xml:space="preserve">their </w:t>
            </w:r>
            <w:r w:rsidRPr="0053320E">
              <w:t>job</w:t>
            </w:r>
            <w:r>
              <w:t>?</w:t>
            </w:r>
          </w:p>
          <w:p w14:paraId="4247A42F" w14:textId="68408FFB" w:rsidR="0087301D" w:rsidRDefault="0087301D" w:rsidP="00D509E3">
            <w:pPr>
              <w:pStyle w:val="Bullet"/>
            </w:pPr>
            <w:r>
              <w:t>Discuss their career development plan</w:t>
            </w:r>
          </w:p>
          <w:p w14:paraId="517264FB" w14:textId="77777777" w:rsidR="0087301D" w:rsidRDefault="0087301D" w:rsidP="00D509E3">
            <w:pPr>
              <w:pStyle w:val="Bullet"/>
            </w:pPr>
            <w:r>
              <w:t>Unspoken cultural nuances of the organization</w:t>
            </w:r>
          </w:p>
          <w:p w14:paraId="2C98DD15" w14:textId="77777777" w:rsidR="0087301D" w:rsidRDefault="0087301D" w:rsidP="00D509E3">
            <w:pPr>
              <w:pStyle w:val="Bullet"/>
            </w:pPr>
            <w:r>
              <w:t>Provide an organizational chart</w:t>
            </w:r>
          </w:p>
          <w:p w14:paraId="7F6637AE" w14:textId="77777777" w:rsidR="0087301D" w:rsidRDefault="0087301D" w:rsidP="00D509E3">
            <w:pPr>
              <w:pStyle w:val="Bullet"/>
            </w:pPr>
            <w:r>
              <w:t>Identify their resources in addition to their supervisor</w:t>
            </w:r>
          </w:p>
          <w:p w14:paraId="0F73123D" w14:textId="77777777" w:rsidR="0087301D" w:rsidRPr="00D25DA0" w:rsidRDefault="0087301D" w:rsidP="00D509E3">
            <w:pPr>
              <w:pStyle w:val="Bullet"/>
            </w:pPr>
            <w:r>
              <w:t>Discuss the performance review process during and after the training period</w:t>
            </w:r>
          </w:p>
        </w:tc>
      </w:tr>
      <w:tr w:rsidR="0087301D" w:rsidRPr="00D25DA0" w14:paraId="34C65E4A" w14:textId="77777777" w:rsidTr="00DE1272">
        <w:trPr>
          <w:cantSplit/>
          <w:trHeight w:val="317"/>
        </w:trPr>
        <w:tc>
          <w:tcPr>
            <w:tcW w:w="877" w:type="dxa"/>
          </w:tcPr>
          <w:p w14:paraId="64CE21CA" w14:textId="77777777" w:rsidR="0087301D" w:rsidRPr="00E47921" w:rsidRDefault="0087301D" w:rsidP="00D509E3">
            <w:pPr>
              <w:keepNext/>
              <w:contextualSpacing/>
              <w:jc w:val="center"/>
            </w:pPr>
          </w:p>
          <w:p w14:paraId="52F34176" w14:textId="77777777" w:rsidR="0087301D" w:rsidRPr="005439EA" w:rsidRDefault="0087301D" w:rsidP="00D509E3">
            <w:pPr>
              <w:keepNext/>
              <w:contextualSpacing/>
              <w:jc w:val="center"/>
            </w:pPr>
            <w:r w:rsidRPr="005439EA">
              <w:rPr>
                <w:sz w:val="32"/>
                <w:szCs w:val="32"/>
              </w:rPr>
              <w:sym w:font="Wingdings" w:char="F071"/>
            </w:r>
          </w:p>
        </w:tc>
        <w:tc>
          <w:tcPr>
            <w:tcW w:w="8275" w:type="dxa"/>
            <w:gridSpan w:val="2"/>
            <w:tcMar>
              <w:left w:w="432" w:type="dxa"/>
              <w:right w:w="115" w:type="dxa"/>
            </w:tcMar>
          </w:tcPr>
          <w:p w14:paraId="5923281A" w14:textId="77777777" w:rsidR="0087301D" w:rsidRPr="00D25DA0" w:rsidRDefault="0087301D" w:rsidP="00D509E3">
            <w:pPr>
              <w:keepNext/>
              <w:numPr>
                <w:ilvl w:val="2"/>
                <w:numId w:val="0"/>
              </w:numPr>
              <w:spacing w:before="240"/>
              <w:ind w:left="576" w:hanging="576"/>
              <w:outlineLvl w:val="2"/>
              <w:rPr>
                <w:rFonts w:ascii="Arial" w:hAnsi="Arial" w:cs="Arial"/>
                <w:b/>
                <w:kern w:val="32"/>
                <w:sz w:val="28"/>
                <w:szCs w:val="26"/>
              </w:rPr>
            </w:pPr>
            <w:r w:rsidRPr="00F31C46">
              <w:rPr>
                <w:rFonts w:ascii="Arial" w:hAnsi="Arial" w:cs="Arial"/>
                <w:b/>
                <w:kern w:val="32"/>
                <w:sz w:val="28"/>
                <w:szCs w:val="26"/>
              </w:rPr>
              <w:t>Compensation and Benefits</w:t>
            </w:r>
          </w:p>
        </w:tc>
      </w:tr>
      <w:tr w:rsidR="0087301D" w:rsidRPr="00D25DA0" w14:paraId="2F7867B7" w14:textId="77777777" w:rsidTr="00DE1272">
        <w:trPr>
          <w:cantSplit/>
          <w:trHeight w:val="317"/>
        </w:trPr>
        <w:tc>
          <w:tcPr>
            <w:tcW w:w="877" w:type="dxa"/>
          </w:tcPr>
          <w:p w14:paraId="391C057D" w14:textId="77777777" w:rsidR="0087301D" w:rsidRPr="005439EA" w:rsidRDefault="0087301D" w:rsidP="00D509E3">
            <w:pPr>
              <w:contextualSpacing/>
              <w:jc w:val="center"/>
            </w:pPr>
          </w:p>
        </w:tc>
        <w:tc>
          <w:tcPr>
            <w:tcW w:w="8275" w:type="dxa"/>
            <w:gridSpan w:val="2"/>
            <w:tcMar>
              <w:left w:w="432" w:type="dxa"/>
              <w:right w:w="115" w:type="dxa"/>
            </w:tcMar>
          </w:tcPr>
          <w:p w14:paraId="030B66A1" w14:textId="6E554031" w:rsidR="0087301D" w:rsidRDefault="0087301D" w:rsidP="00D509E3">
            <w:pPr>
              <w:widowControl w:val="0"/>
            </w:pPr>
            <w:r>
              <w:t>Provide the new city employee with the following items to reinforce the total value of their compensation. This is an opportunity to answer any questions and reinforce the value proposition of working for your city.</w:t>
            </w:r>
          </w:p>
          <w:p w14:paraId="676CD646" w14:textId="77777777" w:rsidR="0087301D" w:rsidRPr="005A4147" w:rsidRDefault="0087301D" w:rsidP="00D509E3">
            <w:pPr>
              <w:pStyle w:val="Bullet"/>
            </w:pPr>
            <w:r w:rsidRPr="005A4147">
              <w:t>Pay schedule</w:t>
            </w:r>
          </w:p>
          <w:p w14:paraId="55652694" w14:textId="49E27B25" w:rsidR="0087301D" w:rsidRPr="005A4147" w:rsidRDefault="00157ED6" w:rsidP="00D509E3">
            <w:pPr>
              <w:pStyle w:val="Bullet"/>
            </w:pPr>
            <w:r w:rsidRPr="005A4147">
              <w:t>Timecard</w:t>
            </w:r>
            <w:r w:rsidR="0087301D" w:rsidRPr="005A4147">
              <w:t xml:space="preserve"> and instructions</w:t>
            </w:r>
          </w:p>
          <w:p w14:paraId="2485E2DE" w14:textId="0013EF66" w:rsidR="0087301D" w:rsidRDefault="0087301D" w:rsidP="00D509E3">
            <w:pPr>
              <w:pStyle w:val="Bullet"/>
            </w:pPr>
            <w:r w:rsidRPr="005A4147">
              <w:t>City policies on earning overtime</w:t>
            </w:r>
          </w:p>
          <w:p w14:paraId="3F5D3617" w14:textId="1DD6BB61" w:rsidR="0087301D" w:rsidRDefault="0087301D" w:rsidP="00D509E3">
            <w:pPr>
              <w:pStyle w:val="Bullet"/>
            </w:pPr>
            <w:r w:rsidRPr="005A4147">
              <w:t>Information on how and when salary changes are made</w:t>
            </w:r>
          </w:p>
          <w:p w14:paraId="75F0E938" w14:textId="597362A6" w:rsidR="0087301D" w:rsidRDefault="0087301D" w:rsidP="00D509E3">
            <w:pPr>
              <w:pStyle w:val="Bullet"/>
            </w:pPr>
            <w:r>
              <w:t>Information on required and optional p</w:t>
            </w:r>
            <w:r w:rsidRPr="005A4147">
              <w:t>ayroll deductions</w:t>
            </w:r>
          </w:p>
          <w:p w14:paraId="3A9C65E7" w14:textId="554CCAC4" w:rsidR="00157ED6" w:rsidRPr="005A4147" w:rsidRDefault="00F31C46" w:rsidP="00D509E3">
            <w:pPr>
              <w:pStyle w:val="Bullet"/>
            </w:pPr>
            <w:r>
              <w:t>Obtain a s</w:t>
            </w:r>
            <w:r w:rsidR="00157ED6">
              <w:t>igned copy</w:t>
            </w:r>
            <w:r w:rsidR="006E6CB1">
              <w:t xml:space="preserve"> </w:t>
            </w:r>
            <w:r w:rsidR="00157ED6">
              <w:t xml:space="preserve">of the written notice required by the </w:t>
            </w:r>
            <w:hyperlink r:id="rId9" w:history="1">
              <w:r w:rsidR="00157ED6" w:rsidRPr="009F1D93">
                <w:rPr>
                  <w:rStyle w:val="Hyperlink"/>
                </w:rPr>
                <w:t>Minnesota Wage Theft Prevention Act</w:t>
              </w:r>
            </w:hyperlink>
            <w:r w:rsidR="00157ED6">
              <w:t xml:space="preserve"> provided to the </w:t>
            </w:r>
            <w:r w:rsidR="006E6CB1">
              <w:t>n</w:t>
            </w:r>
            <w:r w:rsidR="00157ED6">
              <w:t xml:space="preserve">ew </w:t>
            </w:r>
            <w:r w:rsidR="006E6CB1">
              <w:t>h</w:t>
            </w:r>
            <w:r w:rsidR="00157ED6">
              <w:t>ire</w:t>
            </w:r>
          </w:p>
          <w:p w14:paraId="362FF385" w14:textId="7485058E" w:rsidR="0087301D" w:rsidRDefault="0087301D" w:rsidP="00157ED6">
            <w:pPr>
              <w:pStyle w:val="Bullet"/>
            </w:pPr>
            <w:r>
              <w:t xml:space="preserve">Financial and other forms to complete, such as the </w:t>
            </w:r>
            <w:r w:rsidR="00157ED6">
              <w:t xml:space="preserve">federal </w:t>
            </w:r>
            <w:r w:rsidRPr="005A4147">
              <w:t xml:space="preserve">W-4, </w:t>
            </w:r>
            <w:r w:rsidR="00157ED6">
              <w:t xml:space="preserve">W-4 MN forms, MN </w:t>
            </w:r>
            <w:r w:rsidRPr="005A4147">
              <w:t xml:space="preserve">new hire reporting, I-9, </w:t>
            </w:r>
            <w:r w:rsidR="00F31C46">
              <w:t xml:space="preserve">etc. </w:t>
            </w:r>
            <w:r w:rsidR="00C9650F">
              <w:t>(</w:t>
            </w:r>
            <w:r w:rsidR="00106AA3">
              <w:t>refer to</w:t>
            </w:r>
            <w:r w:rsidR="00C8718E">
              <w:t xml:space="preserve"> </w:t>
            </w:r>
            <w:r w:rsidR="00C9650F">
              <w:t xml:space="preserve">the </w:t>
            </w:r>
            <w:hyperlink r:id="rId10" w:history="1">
              <w:r w:rsidR="00C9650F" w:rsidRPr="00C9650F">
                <w:rPr>
                  <w:rStyle w:val="Hyperlink"/>
                </w:rPr>
                <w:t>Hiring Chapter</w:t>
              </w:r>
            </w:hyperlink>
            <w:r w:rsidR="00C9650F">
              <w:t xml:space="preserve"> for additional information)</w:t>
            </w:r>
            <w:r w:rsidR="00157ED6">
              <w:t>, emergency contact listing, applicable insurance paperwork</w:t>
            </w:r>
            <w:r w:rsidR="00C9650F">
              <w:t xml:space="preserve"> and associated required notices</w:t>
            </w:r>
            <w:r w:rsidR="00157ED6">
              <w:t xml:space="preserve"> a</w:t>
            </w:r>
            <w:r w:rsidR="00C9650F">
              <w:t xml:space="preserve">s well as </w:t>
            </w:r>
            <w:r w:rsidRPr="005A4147">
              <w:t>direct deposit</w:t>
            </w:r>
            <w:r>
              <w:t xml:space="preserve"> forms</w:t>
            </w:r>
          </w:p>
          <w:p w14:paraId="06241E3C" w14:textId="2E8DBEFD" w:rsidR="00F31C46" w:rsidRPr="005A4147" w:rsidRDefault="00F31C46" w:rsidP="00157ED6">
            <w:pPr>
              <w:pStyle w:val="Bullet"/>
            </w:pPr>
            <w:r>
              <w:t xml:space="preserve">Within two weeks of the new hire’s first day of employment, share a one-page letter, fact sheet, and frequently asked questions by the </w:t>
            </w:r>
            <w:hyperlink r:id="rId11" w:history="1">
              <w:r w:rsidRPr="00F31C46">
                <w:rPr>
                  <w:rStyle w:val="Hyperlink"/>
                </w:rPr>
                <w:t>MN Office of Higher Education on the federal student loan forgiveness program</w:t>
              </w:r>
            </w:hyperlink>
          </w:p>
          <w:p w14:paraId="689DF7A0" w14:textId="55CAB8A4" w:rsidR="0087301D" w:rsidRPr="005A4147" w:rsidRDefault="0087301D" w:rsidP="00D509E3">
            <w:pPr>
              <w:pStyle w:val="Bullet"/>
            </w:pPr>
            <w:r>
              <w:t xml:space="preserve">An explanation of mandatory benefits such as </w:t>
            </w:r>
            <w:hyperlink r:id="rId12" w:history="1">
              <w:r w:rsidRPr="009F1D93">
                <w:rPr>
                  <w:rStyle w:val="Hyperlink"/>
                </w:rPr>
                <w:t>PERA</w:t>
              </w:r>
            </w:hyperlink>
            <w:r>
              <w:t xml:space="preserve"> (younger employees may not understand the total value of a pension plan or how it works).</w:t>
            </w:r>
          </w:p>
          <w:p w14:paraId="0F31ABD1" w14:textId="4BA83ED9" w:rsidR="0087301D" w:rsidRDefault="0087301D" w:rsidP="00D509E3">
            <w:pPr>
              <w:pStyle w:val="Bullet"/>
            </w:pPr>
            <w:r>
              <w:t>An explanation of l</w:t>
            </w:r>
            <w:r w:rsidRPr="005A4147">
              <w:t>eave benefits (</w:t>
            </w:r>
            <w:r w:rsidR="00106AA3">
              <w:t xml:space="preserve">such as </w:t>
            </w:r>
            <w:r w:rsidRPr="005A4147">
              <w:t xml:space="preserve">sick leave, vacation, paid time off, </w:t>
            </w:r>
            <w:r w:rsidR="00EE7870">
              <w:t xml:space="preserve">Earned Sick and Safe Time (ESST), </w:t>
            </w:r>
            <w:r w:rsidRPr="005A4147">
              <w:t>holidays)</w:t>
            </w:r>
          </w:p>
          <w:p w14:paraId="2ABEC99F" w14:textId="6228F069" w:rsidR="00D66EB5" w:rsidRPr="005A4147" w:rsidRDefault="00D66EB5" w:rsidP="00D509E3">
            <w:pPr>
              <w:pStyle w:val="Bullet"/>
            </w:pPr>
            <w:r>
              <w:t xml:space="preserve">Social Security Disclosure (typically for police and fire in the PERA Police and Fire Plan) </w:t>
            </w:r>
            <w:hyperlink r:id="rId13" w:history="1">
              <w:r w:rsidR="00F31C46" w:rsidRPr="00B84C71">
                <w:rPr>
                  <w:rStyle w:val="Hyperlink"/>
                </w:rPr>
                <w:t>https://www.ssa.gov/forms/ssa-1945.pdf</w:t>
              </w:r>
            </w:hyperlink>
            <w:r w:rsidR="00F31C46">
              <w:t xml:space="preserve">  </w:t>
            </w:r>
          </w:p>
          <w:p w14:paraId="415783E7" w14:textId="4944C109" w:rsidR="00A177A9" w:rsidRDefault="0087301D" w:rsidP="004F78CB">
            <w:pPr>
              <w:pStyle w:val="Bullet"/>
            </w:pPr>
            <w:r>
              <w:t>A description of any o</w:t>
            </w:r>
            <w:r w:rsidRPr="005A4147">
              <w:t xml:space="preserve">ptional benefits </w:t>
            </w:r>
            <w:r>
              <w:t xml:space="preserve">the city may offer such as </w:t>
            </w:r>
            <w:r w:rsidRPr="005A4147">
              <w:t>medical, dental, life insurances</w:t>
            </w:r>
            <w:r>
              <w:t>, tuition reimbursement program, and employee education and training opportunities.</w:t>
            </w:r>
            <w:r w:rsidR="00FD2B8D">
              <w:t xml:space="preserve"> </w:t>
            </w:r>
            <w:r w:rsidR="00106AA3">
              <w:t xml:space="preserve">Remember, as of January 1, 2025, </w:t>
            </w:r>
            <w:r w:rsidR="00106AA3" w:rsidRPr="00106AA3">
              <w:t xml:space="preserve">cities with 30 or more employees, will need to include the </w:t>
            </w:r>
            <w:r w:rsidR="00106AA3">
              <w:t xml:space="preserve">salary range and </w:t>
            </w:r>
            <w:r w:rsidR="00106AA3" w:rsidRPr="00106AA3">
              <w:t>a general description of any other compensation including, but not limited to, any health or retirement benefits</w:t>
            </w:r>
            <w:r w:rsidR="00106AA3" w:rsidRPr="00106AA3" w:rsidDel="00106AA3">
              <w:t xml:space="preserve"> </w:t>
            </w:r>
            <w:r w:rsidR="00106AA3">
              <w:t>on job postings.</w:t>
            </w:r>
          </w:p>
          <w:p w14:paraId="7F99199C" w14:textId="2C265CCC" w:rsidR="00FD2B8D" w:rsidRPr="00D25DA0" w:rsidRDefault="00FD2B8D" w:rsidP="00F31C46">
            <w:pPr>
              <w:pStyle w:val="Bullet"/>
            </w:pPr>
            <w:r>
              <w:t>If a city offers insurance</w:t>
            </w:r>
            <w:r w:rsidR="00EE7870">
              <w:t xml:space="preserve"> benefits to employees</w:t>
            </w:r>
            <w:r>
              <w:t xml:space="preserve">, has an initial </w:t>
            </w:r>
            <w:hyperlink r:id="rId14" w:history="1">
              <w:r w:rsidR="00F31C46" w:rsidRPr="00F31C46">
                <w:rPr>
                  <w:rStyle w:val="Hyperlink"/>
                </w:rPr>
                <w:t>COBRA General Notice</w:t>
              </w:r>
            </w:hyperlink>
            <w:r>
              <w:t xml:space="preserve"> been prepared to mail to employee and their dependents?</w:t>
            </w:r>
          </w:p>
        </w:tc>
      </w:tr>
      <w:tr w:rsidR="0087301D" w:rsidRPr="00D25DA0" w14:paraId="26F34A51" w14:textId="77777777" w:rsidTr="00DE1272">
        <w:trPr>
          <w:cantSplit/>
          <w:trHeight w:val="317"/>
        </w:trPr>
        <w:tc>
          <w:tcPr>
            <w:tcW w:w="877" w:type="dxa"/>
          </w:tcPr>
          <w:p w14:paraId="392F9CA4" w14:textId="77777777" w:rsidR="0087301D" w:rsidRPr="00E47921" w:rsidRDefault="0087301D" w:rsidP="00487392">
            <w:pPr>
              <w:keepNext/>
              <w:contextualSpacing/>
              <w:jc w:val="center"/>
            </w:pPr>
          </w:p>
          <w:p w14:paraId="72990C27" w14:textId="77777777" w:rsidR="0087301D" w:rsidRPr="005439EA" w:rsidRDefault="0087301D" w:rsidP="00487392">
            <w:pPr>
              <w:keepNext/>
              <w:contextualSpacing/>
              <w:jc w:val="center"/>
            </w:pPr>
            <w:r w:rsidRPr="005439EA">
              <w:rPr>
                <w:sz w:val="32"/>
                <w:szCs w:val="32"/>
              </w:rPr>
              <w:sym w:font="Wingdings" w:char="F071"/>
            </w:r>
          </w:p>
        </w:tc>
        <w:tc>
          <w:tcPr>
            <w:tcW w:w="8275" w:type="dxa"/>
            <w:gridSpan w:val="2"/>
            <w:tcMar>
              <w:left w:w="432" w:type="dxa"/>
              <w:right w:w="115" w:type="dxa"/>
            </w:tcMar>
          </w:tcPr>
          <w:p w14:paraId="7474266E" w14:textId="77777777" w:rsidR="0087301D" w:rsidRPr="00D25DA0" w:rsidRDefault="0087301D" w:rsidP="00487392">
            <w:pPr>
              <w:keepNext/>
              <w:numPr>
                <w:ilvl w:val="2"/>
                <w:numId w:val="0"/>
              </w:numPr>
              <w:spacing w:before="240"/>
              <w:ind w:left="576" w:hanging="576"/>
              <w:outlineLvl w:val="2"/>
              <w:rPr>
                <w:rFonts w:ascii="Arial" w:hAnsi="Arial" w:cs="Arial"/>
                <w:b/>
                <w:kern w:val="32"/>
                <w:sz w:val="28"/>
                <w:szCs w:val="26"/>
              </w:rPr>
            </w:pPr>
            <w:r w:rsidRPr="00D25DA0">
              <w:rPr>
                <w:rFonts w:ascii="Arial" w:hAnsi="Arial" w:cs="Arial"/>
                <w:b/>
                <w:kern w:val="32"/>
                <w:sz w:val="28"/>
                <w:szCs w:val="26"/>
              </w:rPr>
              <w:t>Work Rules</w:t>
            </w:r>
          </w:p>
        </w:tc>
      </w:tr>
      <w:tr w:rsidR="0087301D" w:rsidRPr="00D25DA0" w14:paraId="0E03515C" w14:textId="77777777" w:rsidTr="00DE1272">
        <w:trPr>
          <w:cantSplit/>
          <w:trHeight w:val="317"/>
        </w:trPr>
        <w:tc>
          <w:tcPr>
            <w:tcW w:w="877" w:type="dxa"/>
          </w:tcPr>
          <w:p w14:paraId="5E76BEBF" w14:textId="77777777" w:rsidR="0087301D" w:rsidRPr="005439EA" w:rsidRDefault="0087301D" w:rsidP="00C8718E">
            <w:pPr>
              <w:keepNext/>
              <w:contextualSpacing/>
              <w:jc w:val="center"/>
            </w:pPr>
          </w:p>
        </w:tc>
        <w:tc>
          <w:tcPr>
            <w:tcW w:w="8275" w:type="dxa"/>
            <w:gridSpan w:val="2"/>
            <w:tcMar>
              <w:left w:w="432" w:type="dxa"/>
              <w:right w:w="115" w:type="dxa"/>
            </w:tcMar>
          </w:tcPr>
          <w:p w14:paraId="0C807D81" w14:textId="77777777" w:rsidR="0087301D" w:rsidRDefault="0087301D" w:rsidP="00C8718E">
            <w:pPr>
              <w:keepNext/>
              <w:widowControl w:val="0"/>
            </w:pPr>
            <w:r>
              <w:t>Make sure the new employee understands work rules that may apply to the position such as:</w:t>
            </w:r>
          </w:p>
          <w:p w14:paraId="385B88B8" w14:textId="77777777" w:rsidR="0087301D" w:rsidRPr="005A4147" w:rsidRDefault="0087301D" w:rsidP="00C8718E">
            <w:pPr>
              <w:pStyle w:val="Bullet"/>
              <w:keepNext/>
            </w:pPr>
            <w:r w:rsidRPr="005A4147">
              <w:t>City hall hours</w:t>
            </w:r>
          </w:p>
          <w:p w14:paraId="2A98BFEE" w14:textId="77777777" w:rsidR="0087301D" w:rsidRPr="005A4147" w:rsidRDefault="0087301D" w:rsidP="00C8718E">
            <w:pPr>
              <w:pStyle w:val="Bullet"/>
              <w:keepNext/>
            </w:pPr>
            <w:r>
              <w:t>The employees w</w:t>
            </w:r>
            <w:r w:rsidRPr="005A4147">
              <w:t>ork schedule (on call, evening meetings, shift work)</w:t>
            </w:r>
          </w:p>
          <w:p w14:paraId="4107D312" w14:textId="77777777" w:rsidR="0087301D" w:rsidRPr="005A4147" w:rsidRDefault="0087301D" w:rsidP="00C8718E">
            <w:pPr>
              <w:pStyle w:val="Bullet"/>
              <w:keepNext/>
            </w:pPr>
            <w:r>
              <w:t>Times and locations of any required d</w:t>
            </w:r>
            <w:r w:rsidRPr="005A4147">
              <w:t>epartment meetings/staff meetings</w:t>
            </w:r>
          </w:p>
          <w:p w14:paraId="64392990" w14:textId="77777777" w:rsidR="0087301D" w:rsidRPr="005A4147" w:rsidRDefault="0087301D" w:rsidP="00C8718E">
            <w:pPr>
              <w:pStyle w:val="Bullet"/>
              <w:keepNext/>
            </w:pPr>
            <w:r>
              <w:t>Use of uniforms</w:t>
            </w:r>
          </w:p>
          <w:p w14:paraId="7FFC52D9" w14:textId="77777777" w:rsidR="0087301D" w:rsidRPr="00D25DA0" w:rsidRDefault="0087301D" w:rsidP="00C8718E">
            <w:pPr>
              <w:pStyle w:val="Bullet"/>
              <w:keepNext/>
            </w:pPr>
            <w:r w:rsidRPr="005A4147">
              <w:t>Time off and absence procedures–who needs to approve and how to notify</w:t>
            </w:r>
          </w:p>
        </w:tc>
      </w:tr>
      <w:tr w:rsidR="00C63417" w:rsidRPr="00D25DA0" w14:paraId="61EB3FEF" w14:textId="77777777" w:rsidTr="00DE1272">
        <w:trPr>
          <w:cantSplit/>
          <w:trHeight w:val="317"/>
        </w:trPr>
        <w:tc>
          <w:tcPr>
            <w:tcW w:w="877" w:type="dxa"/>
          </w:tcPr>
          <w:p w14:paraId="050A5DF8" w14:textId="3F174E80" w:rsidR="00C63417" w:rsidRPr="00E47921" w:rsidRDefault="00C63417" w:rsidP="00487392">
            <w:pPr>
              <w:keepNext/>
              <w:contextualSpacing/>
              <w:jc w:val="center"/>
            </w:pPr>
            <w:r w:rsidRPr="005439EA">
              <w:rPr>
                <w:sz w:val="32"/>
                <w:szCs w:val="32"/>
              </w:rPr>
              <w:sym w:font="Wingdings" w:char="F071"/>
            </w:r>
          </w:p>
        </w:tc>
        <w:tc>
          <w:tcPr>
            <w:tcW w:w="8275" w:type="dxa"/>
            <w:gridSpan w:val="2"/>
            <w:tcMar>
              <w:left w:w="432" w:type="dxa"/>
              <w:right w:w="115" w:type="dxa"/>
            </w:tcMar>
          </w:tcPr>
          <w:p w14:paraId="79C3A704" w14:textId="5CB52546" w:rsidR="00C63417" w:rsidRPr="00EE7870" w:rsidRDefault="00C63417" w:rsidP="00487392">
            <w:pPr>
              <w:keepNext/>
              <w:numPr>
                <w:ilvl w:val="2"/>
                <w:numId w:val="0"/>
              </w:numPr>
              <w:spacing w:before="240"/>
              <w:outlineLvl w:val="2"/>
              <w:rPr>
                <w:rFonts w:ascii="Arial" w:hAnsi="Arial" w:cs="Arial"/>
                <w:b/>
                <w:kern w:val="32"/>
                <w:sz w:val="28"/>
                <w:szCs w:val="26"/>
              </w:rPr>
            </w:pPr>
            <w:r>
              <w:rPr>
                <w:rFonts w:ascii="Arial" w:hAnsi="Arial" w:cs="Arial"/>
                <w:b/>
                <w:kern w:val="32"/>
                <w:sz w:val="28"/>
                <w:szCs w:val="26"/>
              </w:rPr>
              <w:t>Represented Employees</w:t>
            </w:r>
          </w:p>
        </w:tc>
      </w:tr>
      <w:tr w:rsidR="00C63417" w:rsidRPr="00D25DA0" w14:paraId="52D5BF09" w14:textId="77777777" w:rsidTr="00DE1272">
        <w:trPr>
          <w:cantSplit/>
          <w:trHeight w:val="317"/>
        </w:trPr>
        <w:tc>
          <w:tcPr>
            <w:tcW w:w="877" w:type="dxa"/>
          </w:tcPr>
          <w:p w14:paraId="7D14A8A3" w14:textId="77777777" w:rsidR="00C63417" w:rsidRPr="00E47921" w:rsidRDefault="00C63417" w:rsidP="00487392">
            <w:pPr>
              <w:keepNext/>
              <w:contextualSpacing/>
              <w:jc w:val="center"/>
            </w:pPr>
          </w:p>
        </w:tc>
        <w:tc>
          <w:tcPr>
            <w:tcW w:w="8275" w:type="dxa"/>
            <w:gridSpan w:val="2"/>
            <w:tcMar>
              <w:left w:w="432" w:type="dxa"/>
              <w:right w:w="115" w:type="dxa"/>
            </w:tcMar>
          </w:tcPr>
          <w:p w14:paraId="4B3E1CDC" w14:textId="77777777" w:rsidR="00C63417" w:rsidRDefault="00C63417" w:rsidP="00487392">
            <w:pPr>
              <w:pStyle w:val="ListParagraph"/>
              <w:keepNext/>
              <w:numPr>
                <w:ilvl w:val="0"/>
                <w:numId w:val="5"/>
              </w:numPr>
              <w:spacing w:before="240"/>
              <w:outlineLvl w:val="2"/>
              <w:rPr>
                <w:bCs/>
                <w:kern w:val="32"/>
              </w:rPr>
            </w:pPr>
            <w:r w:rsidRPr="00487392">
              <w:rPr>
                <w:bCs/>
                <w:kern w:val="32"/>
              </w:rPr>
              <w:t>A city must allow an exclusive representative or the representative’s agent to meet in person with a newly hired employee within 30 calendar days from the date of hire during new employee orientations or, if the city does not conduct new employee orientations, at individual or group meetings arranged by the city in coordination with the exclusive representative or the representative's agent during the newly hired employees' regular working hours. A city must allow the employee and exclusive representative up to 30 minutes to meet and must not charge the employee's pay or leave time during the orientation or meeting, or the pay or leave time of an employee of the city acting as an agent of the exclusive representative. An orientation or meeting may be held virtually or for longer than 30 minutes only by mutual agreement of the city and exclusive representative.</w:t>
            </w:r>
          </w:p>
          <w:p w14:paraId="1C967366" w14:textId="240755C3" w:rsidR="00C63417" w:rsidRPr="00487392" w:rsidRDefault="00C63417" w:rsidP="00487392">
            <w:pPr>
              <w:pStyle w:val="ListParagraph"/>
              <w:keepNext/>
              <w:numPr>
                <w:ilvl w:val="0"/>
                <w:numId w:val="5"/>
              </w:numPr>
              <w:spacing w:before="240"/>
              <w:outlineLvl w:val="2"/>
              <w:rPr>
                <w:bCs/>
                <w:kern w:val="32"/>
              </w:rPr>
            </w:pPr>
            <w:r w:rsidRPr="00C63417">
              <w:rPr>
                <w:bCs/>
                <w:kern w:val="32"/>
              </w:rPr>
              <w:t xml:space="preserve">An exclusive representative must receive at least ten days' notice of </w:t>
            </w:r>
            <w:r w:rsidRPr="00487392">
              <w:rPr>
                <w:bCs/>
                <w:kern w:val="32"/>
              </w:rPr>
              <w:t>an orientation, but a shorter notice may be provided if there is an</w:t>
            </w:r>
            <w:r w:rsidRPr="00C63417">
              <w:rPr>
                <w:bCs/>
                <w:kern w:val="32"/>
              </w:rPr>
              <w:t xml:space="preserve"> urgent need critical to the city’s operations that was not reasonably</w:t>
            </w:r>
            <w:r>
              <w:rPr>
                <w:bCs/>
                <w:kern w:val="32"/>
              </w:rPr>
              <w:t xml:space="preserve"> </w:t>
            </w:r>
            <w:r w:rsidRPr="00C63417">
              <w:rPr>
                <w:bCs/>
                <w:kern w:val="32"/>
              </w:rPr>
              <w:t>foreseeable</w:t>
            </w:r>
            <w:r>
              <w:rPr>
                <w:bCs/>
                <w:kern w:val="32"/>
              </w:rPr>
              <w:t xml:space="preserve">.  For additional information, refer to the </w:t>
            </w:r>
            <w:hyperlink r:id="rId15" w:history="1">
              <w:r w:rsidRPr="00C63417">
                <w:rPr>
                  <w:rStyle w:val="Hyperlink"/>
                  <w:bCs/>
                  <w:kern w:val="32"/>
                </w:rPr>
                <w:t>Labor Relations chapter</w:t>
              </w:r>
            </w:hyperlink>
            <w:r>
              <w:rPr>
                <w:bCs/>
                <w:kern w:val="32"/>
              </w:rPr>
              <w:t xml:space="preserve"> of the HRRM.</w:t>
            </w:r>
          </w:p>
        </w:tc>
      </w:tr>
      <w:tr w:rsidR="0087301D" w:rsidRPr="00D25DA0" w14:paraId="778728E3" w14:textId="77777777" w:rsidTr="00DE1272">
        <w:trPr>
          <w:cantSplit/>
          <w:trHeight w:val="317"/>
        </w:trPr>
        <w:tc>
          <w:tcPr>
            <w:tcW w:w="877" w:type="dxa"/>
          </w:tcPr>
          <w:p w14:paraId="3054FA15" w14:textId="77777777" w:rsidR="0087301D" w:rsidRPr="00E47921" w:rsidRDefault="0087301D" w:rsidP="00D509E3">
            <w:pPr>
              <w:keepNext/>
              <w:contextualSpacing/>
              <w:jc w:val="center"/>
            </w:pPr>
          </w:p>
          <w:p w14:paraId="470AD24B" w14:textId="77777777" w:rsidR="0087301D" w:rsidRPr="005439EA" w:rsidRDefault="0087301D" w:rsidP="00D509E3">
            <w:pPr>
              <w:keepNext/>
              <w:contextualSpacing/>
              <w:jc w:val="center"/>
            </w:pPr>
            <w:r w:rsidRPr="005439EA">
              <w:rPr>
                <w:sz w:val="32"/>
                <w:szCs w:val="32"/>
              </w:rPr>
              <w:sym w:font="Wingdings" w:char="F071"/>
            </w:r>
          </w:p>
        </w:tc>
        <w:tc>
          <w:tcPr>
            <w:tcW w:w="8275" w:type="dxa"/>
            <w:gridSpan w:val="2"/>
            <w:tcMar>
              <w:left w:w="432" w:type="dxa"/>
              <w:right w:w="115" w:type="dxa"/>
            </w:tcMar>
          </w:tcPr>
          <w:p w14:paraId="053258D9" w14:textId="77777777" w:rsidR="0087301D" w:rsidRPr="00D25DA0" w:rsidRDefault="0087301D" w:rsidP="00D509E3">
            <w:pPr>
              <w:keepNext/>
              <w:numPr>
                <w:ilvl w:val="2"/>
                <w:numId w:val="0"/>
              </w:numPr>
              <w:spacing w:before="240"/>
              <w:ind w:left="576" w:hanging="576"/>
              <w:outlineLvl w:val="2"/>
              <w:rPr>
                <w:rFonts w:ascii="Arial" w:hAnsi="Arial" w:cs="Arial"/>
                <w:b/>
                <w:kern w:val="32"/>
                <w:sz w:val="28"/>
                <w:szCs w:val="26"/>
              </w:rPr>
            </w:pPr>
            <w:r w:rsidRPr="00EE7870">
              <w:rPr>
                <w:rFonts w:ascii="Arial" w:hAnsi="Arial" w:cs="Arial"/>
                <w:b/>
                <w:kern w:val="32"/>
                <w:sz w:val="28"/>
                <w:szCs w:val="26"/>
              </w:rPr>
              <w:t>Policies</w:t>
            </w:r>
          </w:p>
        </w:tc>
      </w:tr>
      <w:tr w:rsidR="00487392" w:rsidRPr="00D25DA0" w14:paraId="6BA70CC4" w14:textId="77777777" w:rsidTr="00DE1272">
        <w:trPr>
          <w:cantSplit/>
          <w:trHeight w:val="317"/>
        </w:trPr>
        <w:tc>
          <w:tcPr>
            <w:tcW w:w="877" w:type="dxa"/>
          </w:tcPr>
          <w:p w14:paraId="007DEAE6" w14:textId="77777777" w:rsidR="00487392" w:rsidRPr="00E47921" w:rsidRDefault="00487392" w:rsidP="00D509E3">
            <w:pPr>
              <w:keepNext/>
              <w:contextualSpacing/>
              <w:jc w:val="center"/>
            </w:pPr>
          </w:p>
        </w:tc>
        <w:tc>
          <w:tcPr>
            <w:tcW w:w="8275" w:type="dxa"/>
            <w:gridSpan w:val="2"/>
            <w:tcMar>
              <w:left w:w="432" w:type="dxa"/>
              <w:right w:w="115" w:type="dxa"/>
            </w:tcMar>
          </w:tcPr>
          <w:p w14:paraId="1D943012" w14:textId="77777777" w:rsidR="00487392" w:rsidRDefault="00487392" w:rsidP="00487392">
            <w:pPr>
              <w:widowControl w:val="0"/>
            </w:pPr>
            <w:r>
              <w:t xml:space="preserve">Provide the new employee </w:t>
            </w:r>
            <w:r w:rsidRPr="006E6CB1">
              <w:t xml:space="preserve">and consider obtaining employee signature of receipt </w:t>
            </w:r>
            <w:r>
              <w:t>with copies of all personnel procedures including but not limited to:</w:t>
            </w:r>
          </w:p>
          <w:p w14:paraId="5904EA2B" w14:textId="77777777" w:rsidR="00487392" w:rsidRPr="005A4147" w:rsidRDefault="00487392" w:rsidP="00487392">
            <w:pPr>
              <w:pStyle w:val="Bullet"/>
            </w:pPr>
            <w:r w:rsidRPr="005A4147">
              <w:t>Sexual Harassment Prevention</w:t>
            </w:r>
            <w:r>
              <w:t xml:space="preserve"> or Respectful Workplace </w:t>
            </w:r>
            <w:r w:rsidRPr="005A4147">
              <w:t>Policy</w:t>
            </w:r>
          </w:p>
          <w:p w14:paraId="2C986656" w14:textId="77777777" w:rsidR="00487392" w:rsidRPr="005A4147" w:rsidRDefault="00487392" w:rsidP="00487392">
            <w:pPr>
              <w:pStyle w:val="Bullet"/>
            </w:pPr>
            <w:r w:rsidRPr="005A4147">
              <w:t>Holidays and other paid/unpaid leaves (sick leave, vacation,</w:t>
            </w:r>
            <w:r>
              <w:t xml:space="preserve"> Earned Sick and Safe Time,</w:t>
            </w:r>
            <w:r w:rsidRPr="005A4147">
              <w:t xml:space="preserve"> etc.)</w:t>
            </w:r>
          </w:p>
          <w:p w14:paraId="6D9ACE9A" w14:textId="77777777" w:rsidR="00487392" w:rsidRDefault="00487392" w:rsidP="00487392">
            <w:pPr>
              <w:pStyle w:val="Bullet"/>
            </w:pPr>
            <w:r w:rsidRPr="005A4147">
              <w:t>Performance review process</w:t>
            </w:r>
            <w:r>
              <w:t xml:space="preserve"> </w:t>
            </w:r>
          </w:p>
          <w:p w14:paraId="66F4D038" w14:textId="77777777" w:rsidR="00487392" w:rsidRPr="005A4147" w:rsidRDefault="00487392" w:rsidP="00487392">
            <w:pPr>
              <w:pStyle w:val="Bullet"/>
            </w:pPr>
            <w:r>
              <w:t>Technology and social media policy</w:t>
            </w:r>
          </w:p>
          <w:p w14:paraId="58E4F24C" w14:textId="77777777" w:rsidR="00487392" w:rsidRPr="005A4147" w:rsidRDefault="00487392" w:rsidP="00487392">
            <w:pPr>
              <w:pStyle w:val="Bullet"/>
            </w:pPr>
            <w:r w:rsidRPr="005A4147">
              <w:t>Drug &amp; alcohol testing</w:t>
            </w:r>
          </w:p>
          <w:p w14:paraId="79A936C5" w14:textId="7BB8654A" w:rsidR="00487392" w:rsidRPr="00487392" w:rsidRDefault="00487392" w:rsidP="00487392">
            <w:pPr>
              <w:pStyle w:val="Bullet"/>
            </w:pPr>
            <w:r w:rsidRPr="005A4147">
              <w:t>Safety policies (AWAIR, Right</w:t>
            </w:r>
            <w:r>
              <w:t>-</w:t>
            </w:r>
            <w:r w:rsidRPr="005A4147">
              <w:t>to</w:t>
            </w:r>
            <w:r>
              <w:t>-</w:t>
            </w:r>
            <w:r w:rsidRPr="005A4147">
              <w:t>Know)</w:t>
            </w:r>
          </w:p>
        </w:tc>
      </w:tr>
      <w:tr w:rsidR="0087301D" w:rsidRPr="00D25DA0" w14:paraId="09DFDA26" w14:textId="77777777" w:rsidTr="00DE1272">
        <w:trPr>
          <w:cantSplit/>
          <w:trHeight w:val="317"/>
        </w:trPr>
        <w:tc>
          <w:tcPr>
            <w:tcW w:w="877" w:type="dxa"/>
          </w:tcPr>
          <w:p w14:paraId="1738852D" w14:textId="77777777" w:rsidR="0087301D" w:rsidRPr="005439EA" w:rsidRDefault="0087301D" w:rsidP="00DE1272">
            <w:pPr>
              <w:contextualSpacing/>
              <w:jc w:val="center"/>
            </w:pPr>
          </w:p>
        </w:tc>
        <w:tc>
          <w:tcPr>
            <w:tcW w:w="8275" w:type="dxa"/>
            <w:gridSpan w:val="2"/>
            <w:tcMar>
              <w:left w:w="432" w:type="dxa"/>
              <w:right w:w="115" w:type="dxa"/>
            </w:tcMar>
          </w:tcPr>
          <w:p w14:paraId="4386F29C" w14:textId="2F6A5D18" w:rsidR="0087301D" w:rsidRDefault="0087301D" w:rsidP="00DE1272">
            <w:pPr>
              <w:pStyle w:val="Bullet"/>
            </w:pPr>
            <w:r w:rsidRPr="005A4147">
              <w:t>Disciplinary procedures</w:t>
            </w:r>
          </w:p>
          <w:p w14:paraId="27409B7B" w14:textId="77777777" w:rsidR="00C63417" w:rsidRDefault="00C9650F" w:rsidP="00DE1272">
            <w:pPr>
              <w:pStyle w:val="Bullet"/>
            </w:pPr>
            <w:r>
              <w:t>Data practices policy</w:t>
            </w:r>
          </w:p>
          <w:p w14:paraId="15C9C74E" w14:textId="6E2BF41B" w:rsidR="006E6CB1" w:rsidRDefault="0087301D" w:rsidP="00DE1272">
            <w:pPr>
              <w:pStyle w:val="Bullet"/>
            </w:pPr>
            <w:r w:rsidRPr="005A4147">
              <w:t>Other policies</w:t>
            </w:r>
          </w:p>
          <w:p w14:paraId="2B161993" w14:textId="5152CA37" w:rsidR="006E6CB1" w:rsidRPr="00D25DA0" w:rsidRDefault="009F1D93" w:rsidP="00DE1272">
            <w:pPr>
              <w:pStyle w:val="Bullet"/>
              <w:numPr>
                <w:ilvl w:val="0"/>
                <w:numId w:val="0"/>
              </w:numPr>
              <w:ind w:left="-164" w:hanging="180"/>
            </w:pPr>
            <w:r>
              <w:t xml:space="preserve">   </w:t>
            </w:r>
            <w:r w:rsidR="006E6CB1">
              <w:t>Keep in mind, i</w:t>
            </w:r>
            <w:r w:rsidR="006E6CB1" w:rsidRPr="006E6CB1">
              <w:t xml:space="preserve">n accordance with the </w:t>
            </w:r>
            <w:hyperlink r:id="rId16" w:history="1">
              <w:r w:rsidR="006E6CB1" w:rsidRPr="009F1D93">
                <w:rPr>
                  <w:rStyle w:val="Hyperlink"/>
                </w:rPr>
                <w:t>Minnesota Wage Theft Protection Act</w:t>
              </w:r>
            </w:hyperlink>
            <w:r w:rsidR="006E6CB1" w:rsidRPr="006E6CB1">
              <w:t xml:space="preserve">, employers are also required to provide employees in writing of any changes to the information in the initial employee notice before the date the changes take effect. Additionally, within that same law with respect to record keeping requirements, the city will maintain a list of personnel policies provided to employees and the date they were given to the employee. For additional information, please refer to: </w:t>
            </w:r>
            <w:hyperlink r:id="rId17" w:history="1">
              <w:r w:rsidR="00106AA3" w:rsidRPr="00106AA3">
                <w:rPr>
                  <w:rStyle w:val="Hyperlink"/>
                </w:rPr>
                <w:t>MN DLI Wage Theft Law</w:t>
              </w:r>
            </w:hyperlink>
          </w:p>
        </w:tc>
      </w:tr>
      <w:tr w:rsidR="0087301D" w:rsidRPr="00D25DA0" w14:paraId="656D4644" w14:textId="77777777" w:rsidTr="00DE1272">
        <w:trPr>
          <w:cantSplit/>
          <w:trHeight w:val="317"/>
        </w:trPr>
        <w:tc>
          <w:tcPr>
            <w:tcW w:w="885" w:type="dxa"/>
            <w:gridSpan w:val="2"/>
          </w:tcPr>
          <w:p w14:paraId="54958C8E" w14:textId="77777777" w:rsidR="0087301D" w:rsidRPr="00E47921" w:rsidRDefault="0087301D" w:rsidP="00DE1272">
            <w:pPr>
              <w:contextualSpacing/>
              <w:jc w:val="center"/>
            </w:pPr>
          </w:p>
          <w:p w14:paraId="083DFEED" w14:textId="77777777" w:rsidR="0087301D" w:rsidRPr="005439EA" w:rsidRDefault="0087301D" w:rsidP="00DE1272">
            <w:pPr>
              <w:contextualSpacing/>
              <w:jc w:val="center"/>
            </w:pPr>
            <w:r w:rsidRPr="005439EA">
              <w:rPr>
                <w:sz w:val="32"/>
                <w:szCs w:val="32"/>
              </w:rPr>
              <w:sym w:font="Wingdings" w:char="F071"/>
            </w:r>
          </w:p>
        </w:tc>
        <w:tc>
          <w:tcPr>
            <w:tcW w:w="8267" w:type="dxa"/>
            <w:tcMar>
              <w:left w:w="432" w:type="dxa"/>
              <w:right w:w="115" w:type="dxa"/>
            </w:tcMar>
          </w:tcPr>
          <w:p w14:paraId="4D698DAF" w14:textId="77777777" w:rsidR="0087301D" w:rsidRPr="00D25DA0" w:rsidRDefault="0087301D" w:rsidP="00DE1272">
            <w:pPr>
              <w:numPr>
                <w:ilvl w:val="2"/>
                <w:numId w:val="0"/>
              </w:numPr>
              <w:spacing w:before="240"/>
              <w:ind w:left="576" w:hanging="576"/>
              <w:outlineLvl w:val="2"/>
              <w:rPr>
                <w:rFonts w:ascii="Arial" w:hAnsi="Arial" w:cs="Arial"/>
                <w:b/>
                <w:kern w:val="32"/>
                <w:sz w:val="28"/>
                <w:szCs w:val="26"/>
              </w:rPr>
            </w:pPr>
            <w:r w:rsidRPr="00EE7870">
              <w:rPr>
                <w:rFonts w:ascii="Arial" w:hAnsi="Arial" w:cs="Arial"/>
                <w:b/>
                <w:kern w:val="32"/>
                <w:sz w:val="28"/>
                <w:szCs w:val="26"/>
              </w:rPr>
              <w:t>Safety and Emergency Procedures</w:t>
            </w:r>
          </w:p>
        </w:tc>
      </w:tr>
      <w:tr w:rsidR="00C8718E" w:rsidRPr="00D25DA0" w14:paraId="77F317EC" w14:textId="77777777" w:rsidTr="003C125E">
        <w:trPr>
          <w:cantSplit/>
          <w:trHeight w:val="3644"/>
        </w:trPr>
        <w:tc>
          <w:tcPr>
            <w:tcW w:w="885" w:type="dxa"/>
            <w:gridSpan w:val="2"/>
          </w:tcPr>
          <w:p w14:paraId="13C795A0" w14:textId="77777777" w:rsidR="00C8718E" w:rsidRPr="00E47921" w:rsidRDefault="00C8718E" w:rsidP="00DE1272">
            <w:pPr>
              <w:contextualSpacing/>
              <w:jc w:val="center"/>
            </w:pPr>
          </w:p>
        </w:tc>
        <w:tc>
          <w:tcPr>
            <w:tcW w:w="8267" w:type="dxa"/>
            <w:tcMar>
              <w:left w:w="432" w:type="dxa"/>
              <w:right w:w="115" w:type="dxa"/>
            </w:tcMar>
          </w:tcPr>
          <w:p w14:paraId="050F8183" w14:textId="77777777" w:rsidR="00C8718E" w:rsidRDefault="00C8718E" w:rsidP="00DE1272">
            <w:pPr>
              <w:widowControl w:val="0"/>
            </w:pPr>
            <w:r>
              <w:t>Make sure the new employee understands safety and emergency procedures such as:</w:t>
            </w:r>
          </w:p>
          <w:p w14:paraId="3EE82148" w14:textId="77777777" w:rsidR="00C8718E" w:rsidRPr="005A4147" w:rsidRDefault="00C8718E" w:rsidP="00DE1272">
            <w:pPr>
              <w:pStyle w:val="Bullet"/>
            </w:pPr>
            <w:r w:rsidRPr="005A4147">
              <w:t>Facility and employee security</w:t>
            </w:r>
          </w:p>
          <w:p w14:paraId="6A51A4D0" w14:textId="77777777" w:rsidR="00C8718E" w:rsidRPr="005A4147" w:rsidRDefault="00C8718E" w:rsidP="00DE1272">
            <w:pPr>
              <w:pStyle w:val="Bullet"/>
            </w:pPr>
            <w:r w:rsidRPr="005A4147">
              <w:t>Confidentiality</w:t>
            </w:r>
          </w:p>
          <w:p w14:paraId="592CC1B6" w14:textId="77777777" w:rsidR="00C8718E" w:rsidRPr="005A4147" w:rsidRDefault="00C8718E" w:rsidP="00DE1272">
            <w:pPr>
              <w:pStyle w:val="Bullet"/>
            </w:pPr>
            <w:r w:rsidRPr="005A4147">
              <w:t>Name badge</w:t>
            </w:r>
          </w:p>
          <w:p w14:paraId="25105084" w14:textId="77777777" w:rsidR="00C8718E" w:rsidRPr="005A4147" w:rsidRDefault="00C8718E" w:rsidP="00DE1272">
            <w:pPr>
              <w:pStyle w:val="Bullet"/>
            </w:pPr>
            <w:r w:rsidRPr="005A4147">
              <w:t>Parking</w:t>
            </w:r>
          </w:p>
          <w:p w14:paraId="7DED92EB" w14:textId="77777777" w:rsidR="00C8718E" w:rsidRPr="005A4147" w:rsidRDefault="00C8718E" w:rsidP="00DE1272">
            <w:pPr>
              <w:pStyle w:val="Bullet"/>
            </w:pPr>
            <w:r w:rsidRPr="005A4147">
              <w:t>After-hours procedures</w:t>
            </w:r>
          </w:p>
          <w:p w14:paraId="55DA9975" w14:textId="77777777" w:rsidR="00C8718E" w:rsidRPr="005A4147" w:rsidRDefault="00C8718E" w:rsidP="00DE1272">
            <w:pPr>
              <w:pStyle w:val="Bullet"/>
            </w:pPr>
            <w:r w:rsidRPr="005A4147">
              <w:t>Workers’ compensation</w:t>
            </w:r>
          </w:p>
          <w:p w14:paraId="4ED6E160" w14:textId="77777777" w:rsidR="00C8718E" w:rsidRPr="00DE1272" w:rsidRDefault="00C8718E" w:rsidP="00DE1272">
            <w:pPr>
              <w:pStyle w:val="Bullet"/>
            </w:pPr>
            <w:r w:rsidRPr="005A4147">
              <w:t>Wellness program</w:t>
            </w:r>
          </w:p>
          <w:p w14:paraId="24910BD9" w14:textId="77777777" w:rsidR="00C8718E" w:rsidRPr="005A4147" w:rsidRDefault="00C8718E" w:rsidP="00D509E3">
            <w:pPr>
              <w:pStyle w:val="Bullet"/>
            </w:pPr>
            <w:r w:rsidRPr="005A4147">
              <w:t xml:space="preserve">Employee </w:t>
            </w:r>
            <w:r>
              <w:t>A</w:t>
            </w:r>
            <w:r w:rsidRPr="005A4147">
              <w:t xml:space="preserve">ssistance </w:t>
            </w:r>
            <w:r>
              <w:t>P</w:t>
            </w:r>
            <w:r w:rsidRPr="005A4147">
              <w:t>rogram</w:t>
            </w:r>
          </w:p>
          <w:p w14:paraId="6B8053DA" w14:textId="77777777" w:rsidR="00C8718E" w:rsidRPr="005A4147" w:rsidRDefault="00C8718E" w:rsidP="00D509E3">
            <w:pPr>
              <w:pStyle w:val="Bullet"/>
            </w:pPr>
            <w:r w:rsidRPr="005A4147">
              <w:t>Emergency procedures</w:t>
            </w:r>
          </w:p>
          <w:p w14:paraId="6AC3E347" w14:textId="351DD219" w:rsidR="00C8718E" w:rsidRPr="00DE1272" w:rsidRDefault="00C8718E" w:rsidP="00D509E3">
            <w:pPr>
              <w:pStyle w:val="Bullet"/>
            </w:pPr>
            <w:r w:rsidRPr="005A4147">
              <w:t>First aid</w:t>
            </w:r>
          </w:p>
        </w:tc>
      </w:tr>
      <w:tr w:rsidR="0087301D" w:rsidRPr="00D25DA0" w14:paraId="45F54662" w14:textId="77777777" w:rsidTr="00DE1272">
        <w:trPr>
          <w:cantSplit/>
          <w:trHeight w:val="317"/>
        </w:trPr>
        <w:tc>
          <w:tcPr>
            <w:tcW w:w="885" w:type="dxa"/>
            <w:gridSpan w:val="2"/>
          </w:tcPr>
          <w:p w14:paraId="190C67C5" w14:textId="77777777" w:rsidR="0087301D" w:rsidRPr="00E47921" w:rsidRDefault="0087301D" w:rsidP="00C8718E">
            <w:pPr>
              <w:contextualSpacing/>
              <w:jc w:val="center"/>
            </w:pPr>
          </w:p>
          <w:p w14:paraId="0BF5BF8B" w14:textId="77777777" w:rsidR="0087301D" w:rsidRPr="00D25DA0" w:rsidRDefault="0087301D" w:rsidP="00C8718E">
            <w:pPr>
              <w:contextualSpacing/>
              <w:jc w:val="center"/>
              <w:rPr>
                <w:sz w:val="16"/>
                <w:szCs w:val="20"/>
              </w:rPr>
            </w:pPr>
            <w:r w:rsidRPr="005439EA">
              <w:rPr>
                <w:sz w:val="32"/>
                <w:szCs w:val="32"/>
              </w:rPr>
              <w:sym w:font="Wingdings" w:char="F071"/>
            </w:r>
          </w:p>
        </w:tc>
        <w:tc>
          <w:tcPr>
            <w:tcW w:w="8267" w:type="dxa"/>
            <w:tcMar>
              <w:left w:w="432" w:type="dxa"/>
              <w:right w:w="115" w:type="dxa"/>
            </w:tcMar>
          </w:tcPr>
          <w:p w14:paraId="6DC1FC34" w14:textId="77777777" w:rsidR="0087301D" w:rsidRPr="00D25DA0" w:rsidRDefault="0087301D" w:rsidP="00C8718E">
            <w:pPr>
              <w:numPr>
                <w:ilvl w:val="2"/>
                <w:numId w:val="0"/>
              </w:numPr>
              <w:spacing w:before="240"/>
              <w:ind w:left="576" w:hanging="576"/>
              <w:outlineLvl w:val="2"/>
              <w:rPr>
                <w:rFonts w:ascii="Arial" w:hAnsi="Arial" w:cs="Arial"/>
                <w:b/>
                <w:kern w:val="32"/>
                <w:sz w:val="28"/>
                <w:szCs w:val="26"/>
              </w:rPr>
            </w:pPr>
            <w:r w:rsidRPr="00EE7870">
              <w:rPr>
                <w:rFonts w:ascii="Arial" w:hAnsi="Arial" w:cs="Arial"/>
                <w:b/>
                <w:kern w:val="32"/>
                <w:sz w:val="28"/>
                <w:szCs w:val="26"/>
              </w:rPr>
              <w:t>Other</w:t>
            </w:r>
          </w:p>
        </w:tc>
      </w:tr>
      <w:tr w:rsidR="00C8718E" w:rsidRPr="00D25DA0" w14:paraId="4F109772" w14:textId="77777777" w:rsidTr="00DE1272">
        <w:trPr>
          <w:cantSplit/>
          <w:trHeight w:val="317"/>
        </w:trPr>
        <w:tc>
          <w:tcPr>
            <w:tcW w:w="885" w:type="dxa"/>
            <w:gridSpan w:val="2"/>
          </w:tcPr>
          <w:p w14:paraId="3848CC68" w14:textId="77777777" w:rsidR="00C8718E" w:rsidRPr="00E47921" w:rsidRDefault="00C8718E" w:rsidP="00C8718E">
            <w:pPr>
              <w:contextualSpacing/>
              <w:jc w:val="center"/>
            </w:pPr>
          </w:p>
        </w:tc>
        <w:tc>
          <w:tcPr>
            <w:tcW w:w="8267" w:type="dxa"/>
            <w:tcMar>
              <w:left w:w="432" w:type="dxa"/>
              <w:right w:w="115" w:type="dxa"/>
            </w:tcMar>
          </w:tcPr>
          <w:p w14:paraId="3B23688B" w14:textId="77777777" w:rsidR="00C8718E" w:rsidRDefault="00C8718E" w:rsidP="00C8718E">
            <w:pPr>
              <w:widowControl w:val="0"/>
            </w:pPr>
            <w:r>
              <w:t>A city may have other orientation components. Some other common orientation activities include:</w:t>
            </w:r>
          </w:p>
          <w:p w14:paraId="586E80AD" w14:textId="77777777" w:rsidR="00C8718E" w:rsidRDefault="00C8718E" w:rsidP="00C8718E">
            <w:pPr>
              <w:pStyle w:val="Bullet"/>
            </w:pPr>
            <w:r>
              <w:t>Ensuring the new employee’s workstation is set up with appropriate equipment, technology needs and supplies before their first day. Is the new hire’s necessary login information and email address already set up?</w:t>
            </w:r>
          </w:p>
          <w:p w14:paraId="224B4112" w14:textId="77777777" w:rsidR="00C8718E" w:rsidRDefault="00C8718E" w:rsidP="00C8718E">
            <w:pPr>
              <w:pStyle w:val="Bullet"/>
            </w:pPr>
            <w:r>
              <w:t>Introductions to co-workers and a tour of the facilities.</w:t>
            </w:r>
          </w:p>
          <w:p w14:paraId="3C0C094F" w14:textId="77777777" w:rsidR="00C8718E" w:rsidRDefault="00C8718E" w:rsidP="00C8718E">
            <w:pPr>
              <w:pStyle w:val="Bullet"/>
            </w:pPr>
            <w:r>
              <w:t>Has the new hire’s assigned “buddy” to coordinate onboarding activities been introduced to the new hire/training team?</w:t>
            </w:r>
          </w:p>
          <w:p w14:paraId="34CDF743" w14:textId="77777777" w:rsidR="00C8718E" w:rsidRPr="005A4147" w:rsidRDefault="00C8718E" w:rsidP="00C8718E">
            <w:pPr>
              <w:pStyle w:val="Bullet"/>
            </w:pPr>
            <w:r w:rsidRPr="005A4147">
              <w:t>Spend</w:t>
            </w:r>
            <w:r>
              <w:t>ing</w:t>
            </w:r>
            <w:r w:rsidRPr="005A4147">
              <w:t xml:space="preserve"> time with each department head to learn about the functions of the various departments</w:t>
            </w:r>
            <w:r>
              <w:t xml:space="preserve"> and how the new employee’s job relates to those functions</w:t>
            </w:r>
          </w:p>
          <w:p w14:paraId="5BD6809B" w14:textId="6AF0F3F3" w:rsidR="00C8718E" w:rsidRPr="00C8718E" w:rsidRDefault="00C8718E" w:rsidP="00C8718E">
            <w:pPr>
              <w:pStyle w:val="Bullet"/>
            </w:pPr>
            <w:r w:rsidRPr="005A4147">
              <w:t>I</w:t>
            </w:r>
            <w:r>
              <w:t>ntroduction to i</w:t>
            </w:r>
            <w:r w:rsidRPr="005A4147">
              <w:t>nternal communications</w:t>
            </w:r>
            <w:r>
              <w:t xml:space="preserve"> such as a </w:t>
            </w:r>
            <w:r w:rsidRPr="005A4147">
              <w:t>newsletter, social functions, service awards.</w:t>
            </w:r>
          </w:p>
        </w:tc>
      </w:tr>
      <w:tr w:rsidR="0087301D" w:rsidRPr="00D25DA0" w14:paraId="245A7DB0" w14:textId="77777777" w:rsidTr="00DE1272">
        <w:trPr>
          <w:cantSplit/>
          <w:trHeight w:val="317"/>
        </w:trPr>
        <w:tc>
          <w:tcPr>
            <w:tcW w:w="885" w:type="dxa"/>
            <w:gridSpan w:val="2"/>
          </w:tcPr>
          <w:p w14:paraId="6D9A023A" w14:textId="77777777" w:rsidR="0087301D" w:rsidRPr="00D25DA0" w:rsidRDefault="0087301D" w:rsidP="00D509E3">
            <w:pPr>
              <w:contextualSpacing/>
              <w:jc w:val="center"/>
              <w:rPr>
                <w:sz w:val="16"/>
                <w:szCs w:val="20"/>
              </w:rPr>
            </w:pPr>
          </w:p>
        </w:tc>
        <w:tc>
          <w:tcPr>
            <w:tcW w:w="8267" w:type="dxa"/>
            <w:tcMar>
              <w:left w:w="432" w:type="dxa"/>
              <w:right w:w="115" w:type="dxa"/>
            </w:tcMar>
          </w:tcPr>
          <w:p w14:paraId="4B862788" w14:textId="13F341F6" w:rsidR="0053320E" w:rsidRPr="005A4147" w:rsidRDefault="0053320E" w:rsidP="00D509E3">
            <w:pPr>
              <w:pStyle w:val="Bullet"/>
            </w:pPr>
            <w:r>
              <w:t>Develop a schedule for periodic check-ins for new employee with supervisor(s).</w:t>
            </w:r>
          </w:p>
          <w:p w14:paraId="633BC1DE" w14:textId="707F35EF" w:rsidR="0087301D" w:rsidRDefault="0087301D" w:rsidP="00D509E3">
            <w:pPr>
              <w:pStyle w:val="Bullet"/>
            </w:pPr>
            <w:r>
              <w:t>Passing on p</w:t>
            </w:r>
            <w:r w:rsidRPr="005A4147">
              <w:t xml:space="preserve">olicies or work rules specific to a department or certain job responsibilities. For example, drug testing for CDL holders and confidentiality rules for city clerk </w:t>
            </w:r>
            <w:r w:rsidR="006E6CB1">
              <w:t xml:space="preserve">working </w:t>
            </w:r>
            <w:r w:rsidRPr="005A4147">
              <w:t>with personnel files</w:t>
            </w:r>
          </w:p>
          <w:p w14:paraId="12525B96" w14:textId="32C08A30" w:rsidR="00A177A9" w:rsidRDefault="00A177A9" w:rsidP="00D509E3">
            <w:pPr>
              <w:pStyle w:val="Bullet"/>
            </w:pPr>
            <w:r>
              <w:t>Voicemail guide or instructions and phone lists</w:t>
            </w:r>
          </w:p>
          <w:p w14:paraId="760B236A" w14:textId="4385C004" w:rsidR="0087301D" w:rsidRPr="00D25DA0" w:rsidRDefault="0087301D" w:rsidP="00DE1272">
            <w:pPr>
              <w:pStyle w:val="Bullet"/>
            </w:pPr>
            <w:r>
              <w:t>Consider a welcome lunch to introduce the</w:t>
            </w:r>
            <w:r w:rsidR="0025719D">
              <w:t xml:space="preserve"> new hire </w:t>
            </w:r>
            <w:r>
              <w:t>to other employees</w:t>
            </w:r>
          </w:p>
        </w:tc>
      </w:tr>
    </w:tbl>
    <w:p w14:paraId="3E949D3B" w14:textId="77777777" w:rsidR="00003DF6" w:rsidRPr="00003DF6" w:rsidRDefault="00003DF6" w:rsidP="007A4845">
      <w:pPr>
        <w:rPr>
          <w:sz w:val="22"/>
          <w:szCs w:val="22"/>
        </w:rPr>
      </w:pPr>
    </w:p>
    <w:sectPr w:rsidR="00003DF6" w:rsidRPr="00003DF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F6023" w14:textId="77777777" w:rsidR="000E6062" w:rsidRDefault="000E6062" w:rsidP="007A4845">
      <w:r>
        <w:separator/>
      </w:r>
    </w:p>
  </w:endnote>
  <w:endnote w:type="continuationSeparator" w:id="0">
    <w:p w14:paraId="5C456700" w14:textId="77777777" w:rsidR="000E6062" w:rsidRDefault="000E606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4FF0" w14:textId="45AF58F0"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9D31D6">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0T00:00:00Z">
          <w:dateFormat w:val="M/d/yyyy"/>
          <w:lid w:val="en-US"/>
          <w:storeMappedDataAs w:val="dateTime"/>
          <w:calendar w:val="gregorian"/>
        </w:date>
      </w:sdtPr>
      <w:sdtEndPr/>
      <w:sdtContent>
        <w:r w:rsidR="00C63417">
          <w:rPr>
            <w:rFonts w:ascii="Arial" w:eastAsia="Arial" w:hAnsi="Arial" w:cs="Arial"/>
            <w:sz w:val="15"/>
            <w:szCs w:val="15"/>
          </w:rPr>
          <w:t>9/10/2024</w:t>
        </w:r>
      </w:sdtContent>
    </w:sdt>
  </w:p>
  <w:p w14:paraId="4C69970F" w14:textId="67C811F6" w:rsidR="001624F8" w:rsidRPr="001624F8" w:rsidRDefault="00C8718E"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D31D6">
          <w:rPr>
            <w:rFonts w:ascii="Arial" w:eastAsia="Arial" w:hAnsi="Arial" w:cs="Arial"/>
            <w:sz w:val="15"/>
            <w:szCs w:val="15"/>
          </w:rPr>
          <w:t>Employee Orientation Checklist</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E1735B">
      <w:rPr>
        <w:rFonts w:ascii="Arial" w:eastAsia="Arial" w:hAnsi="Arial" w:cs="Arial"/>
        <w:noProof/>
        <w:sz w:val="15"/>
        <w:szCs w:val="15"/>
      </w:rPr>
      <w:t>4</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ADA2" w14:textId="77777777" w:rsidR="000E6062" w:rsidRDefault="000E6062" w:rsidP="007A4845">
      <w:r>
        <w:separator/>
      </w:r>
    </w:p>
  </w:footnote>
  <w:footnote w:type="continuationSeparator" w:id="0">
    <w:p w14:paraId="1A50E80B" w14:textId="77777777" w:rsidR="000E6062" w:rsidRDefault="000E606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4C423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8C2B51"/>
    <w:multiLevelType w:val="hybridMultilevel"/>
    <w:tmpl w:val="DA3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B0669"/>
    <w:multiLevelType w:val="singleLevel"/>
    <w:tmpl w:val="A2ECC372"/>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75A93876"/>
    <w:multiLevelType w:val="hybridMultilevel"/>
    <w:tmpl w:val="86AE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064991308">
    <w:abstractNumId w:val="4"/>
  </w:num>
  <w:num w:numId="2" w16cid:durableId="37166899">
    <w:abstractNumId w:val="0"/>
  </w:num>
  <w:num w:numId="3" w16cid:durableId="1949190934">
    <w:abstractNumId w:val="2"/>
  </w:num>
  <w:num w:numId="4" w16cid:durableId="1097405020">
    <w:abstractNumId w:val="3"/>
  </w:num>
  <w:num w:numId="5" w16cid:durableId="203738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62"/>
    <w:rsid w:val="00001935"/>
    <w:rsid w:val="00003DF6"/>
    <w:rsid w:val="000557FD"/>
    <w:rsid w:val="000E6062"/>
    <w:rsid w:val="001069D9"/>
    <w:rsid w:val="00106AA3"/>
    <w:rsid w:val="001305D5"/>
    <w:rsid w:val="00157ED6"/>
    <w:rsid w:val="001624F8"/>
    <w:rsid w:val="001823FD"/>
    <w:rsid w:val="001D122C"/>
    <w:rsid w:val="002342E4"/>
    <w:rsid w:val="0025719D"/>
    <w:rsid w:val="003001DF"/>
    <w:rsid w:val="00307F09"/>
    <w:rsid w:val="0031086B"/>
    <w:rsid w:val="00311244"/>
    <w:rsid w:val="003D5E54"/>
    <w:rsid w:val="0045419D"/>
    <w:rsid w:val="00487392"/>
    <w:rsid w:val="004A7267"/>
    <w:rsid w:val="004B14EC"/>
    <w:rsid w:val="004B6F0D"/>
    <w:rsid w:val="004E2D68"/>
    <w:rsid w:val="004F78CB"/>
    <w:rsid w:val="0053320E"/>
    <w:rsid w:val="00545D83"/>
    <w:rsid w:val="0056674B"/>
    <w:rsid w:val="00594A11"/>
    <w:rsid w:val="005A714E"/>
    <w:rsid w:val="005B2F48"/>
    <w:rsid w:val="005D63A9"/>
    <w:rsid w:val="00611DEB"/>
    <w:rsid w:val="006355D7"/>
    <w:rsid w:val="00683862"/>
    <w:rsid w:val="006C1218"/>
    <w:rsid w:val="006C28AE"/>
    <w:rsid w:val="006D5E6C"/>
    <w:rsid w:val="006E6CB1"/>
    <w:rsid w:val="0070334F"/>
    <w:rsid w:val="00742D35"/>
    <w:rsid w:val="007A4845"/>
    <w:rsid w:val="007B383C"/>
    <w:rsid w:val="007C3E3F"/>
    <w:rsid w:val="007F32FF"/>
    <w:rsid w:val="007F7B36"/>
    <w:rsid w:val="008108BA"/>
    <w:rsid w:val="00830831"/>
    <w:rsid w:val="00851A0A"/>
    <w:rsid w:val="0087301D"/>
    <w:rsid w:val="00892DD1"/>
    <w:rsid w:val="008B0964"/>
    <w:rsid w:val="008B3A0F"/>
    <w:rsid w:val="008F4217"/>
    <w:rsid w:val="009028FE"/>
    <w:rsid w:val="00922AD1"/>
    <w:rsid w:val="009662D2"/>
    <w:rsid w:val="009D2855"/>
    <w:rsid w:val="009D31D6"/>
    <w:rsid w:val="009F1D93"/>
    <w:rsid w:val="009F563E"/>
    <w:rsid w:val="00A177A9"/>
    <w:rsid w:val="00A4372B"/>
    <w:rsid w:val="00A57558"/>
    <w:rsid w:val="00A75C11"/>
    <w:rsid w:val="00A85274"/>
    <w:rsid w:val="00AE08A3"/>
    <w:rsid w:val="00AE0A12"/>
    <w:rsid w:val="00BA4642"/>
    <w:rsid w:val="00BA7387"/>
    <w:rsid w:val="00BB4064"/>
    <w:rsid w:val="00C579B5"/>
    <w:rsid w:val="00C63417"/>
    <w:rsid w:val="00C73970"/>
    <w:rsid w:val="00C76C04"/>
    <w:rsid w:val="00C8718E"/>
    <w:rsid w:val="00C9650F"/>
    <w:rsid w:val="00CA61E3"/>
    <w:rsid w:val="00D66EB5"/>
    <w:rsid w:val="00DA35B9"/>
    <w:rsid w:val="00DE1272"/>
    <w:rsid w:val="00DE1A94"/>
    <w:rsid w:val="00DE6282"/>
    <w:rsid w:val="00E123CC"/>
    <w:rsid w:val="00E1735B"/>
    <w:rsid w:val="00E37BEA"/>
    <w:rsid w:val="00E94EB9"/>
    <w:rsid w:val="00E97E08"/>
    <w:rsid w:val="00EE7870"/>
    <w:rsid w:val="00F21888"/>
    <w:rsid w:val="00F31C46"/>
    <w:rsid w:val="00F458B0"/>
    <w:rsid w:val="00F975BD"/>
    <w:rsid w:val="00FB62B4"/>
    <w:rsid w:val="00FD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9923"/>
  <w15:chartTrackingRefBased/>
  <w15:docId w15:val="{FB80F30C-9908-4E19-894E-90804E9E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87301D"/>
    <w:rPr>
      <w:color w:val="0000FF" w:themeColor="hyperlink"/>
      <w:u w:val="single"/>
    </w:rPr>
  </w:style>
  <w:style w:type="paragraph" w:customStyle="1" w:styleId="Bullet">
    <w:name w:val="Bullet"/>
    <w:basedOn w:val="Normal"/>
    <w:uiPriority w:val="1"/>
    <w:qFormat/>
    <w:rsid w:val="0087301D"/>
    <w:pPr>
      <w:widowControl w:val="0"/>
      <w:numPr>
        <w:numId w:val="3"/>
      </w:numPr>
      <w:spacing w:before="80" w:after="80"/>
      <w:contextualSpacing/>
    </w:pPr>
    <w:rPr>
      <w:szCs w:val="20"/>
    </w:rPr>
  </w:style>
  <w:style w:type="paragraph" w:styleId="BalloonText">
    <w:name w:val="Balloon Text"/>
    <w:basedOn w:val="Normal"/>
    <w:link w:val="BalloonTextChar"/>
    <w:uiPriority w:val="99"/>
    <w:semiHidden/>
    <w:unhideWhenUsed/>
    <w:rsid w:val="00001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35"/>
    <w:rPr>
      <w:rFonts w:ascii="Segoe UI" w:hAnsi="Segoe UI" w:cs="Segoe UI"/>
      <w:sz w:val="18"/>
      <w:szCs w:val="18"/>
    </w:rPr>
  </w:style>
  <w:style w:type="character" w:styleId="CommentReference">
    <w:name w:val="annotation reference"/>
    <w:basedOn w:val="DefaultParagraphFont"/>
    <w:uiPriority w:val="99"/>
    <w:semiHidden/>
    <w:unhideWhenUsed/>
    <w:rsid w:val="00001935"/>
    <w:rPr>
      <w:sz w:val="16"/>
      <w:szCs w:val="16"/>
    </w:rPr>
  </w:style>
  <w:style w:type="paragraph" w:styleId="CommentText">
    <w:name w:val="annotation text"/>
    <w:basedOn w:val="Normal"/>
    <w:link w:val="CommentTextChar"/>
    <w:uiPriority w:val="99"/>
    <w:unhideWhenUsed/>
    <w:rsid w:val="00001935"/>
    <w:rPr>
      <w:sz w:val="20"/>
      <w:szCs w:val="20"/>
    </w:rPr>
  </w:style>
  <w:style w:type="character" w:customStyle="1" w:styleId="CommentTextChar">
    <w:name w:val="Comment Text Char"/>
    <w:basedOn w:val="DefaultParagraphFont"/>
    <w:link w:val="CommentText"/>
    <w:uiPriority w:val="99"/>
    <w:rsid w:val="00001935"/>
  </w:style>
  <w:style w:type="paragraph" w:styleId="CommentSubject">
    <w:name w:val="annotation subject"/>
    <w:basedOn w:val="CommentText"/>
    <w:next w:val="CommentText"/>
    <w:link w:val="CommentSubjectChar"/>
    <w:uiPriority w:val="99"/>
    <w:semiHidden/>
    <w:unhideWhenUsed/>
    <w:rsid w:val="00001935"/>
    <w:rPr>
      <w:b/>
      <w:bCs/>
    </w:rPr>
  </w:style>
  <w:style w:type="character" w:customStyle="1" w:styleId="CommentSubjectChar">
    <w:name w:val="Comment Subject Char"/>
    <w:basedOn w:val="CommentTextChar"/>
    <w:link w:val="CommentSubject"/>
    <w:uiPriority w:val="99"/>
    <w:semiHidden/>
    <w:rsid w:val="00001935"/>
    <w:rPr>
      <w:b/>
      <w:bCs/>
    </w:rPr>
  </w:style>
  <w:style w:type="character" w:styleId="FollowedHyperlink">
    <w:name w:val="FollowedHyperlink"/>
    <w:basedOn w:val="DefaultParagraphFont"/>
    <w:uiPriority w:val="99"/>
    <w:semiHidden/>
    <w:unhideWhenUsed/>
    <w:rsid w:val="006E6CB1"/>
    <w:rPr>
      <w:color w:val="800080" w:themeColor="followedHyperlink"/>
      <w:u w:val="single"/>
    </w:rPr>
  </w:style>
  <w:style w:type="character" w:styleId="UnresolvedMention">
    <w:name w:val="Unresolved Mention"/>
    <w:basedOn w:val="DefaultParagraphFont"/>
    <w:uiPriority w:val="99"/>
    <w:semiHidden/>
    <w:unhideWhenUsed/>
    <w:rsid w:val="006E6CB1"/>
    <w:rPr>
      <w:color w:val="605E5C"/>
      <w:shd w:val="clear" w:color="auto" w:fill="E1DFDD"/>
    </w:rPr>
  </w:style>
  <w:style w:type="paragraph" w:styleId="Revision">
    <w:name w:val="Revision"/>
    <w:hidden/>
    <w:uiPriority w:val="99"/>
    <w:semiHidden/>
    <w:rsid w:val="0031086B"/>
    <w:rPr>
      <w:sz w:val="24"/>
      <w:szCs w:val="24"/>
    </w:rPr>
  </w:style>
  <w:style w:type="paragraph" w:styleId="ListParagraph">
    <w:name w:val="List Paragraph"/>
    <w:basedOn w:val="Normal"/>
    <w:uiPriority w:val="34"/>
    <w:rsid w:val="00C63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r-reference-manual-chapter-2-hiring/" TargetMode="External"/><Relationship Id="rId13" Type="http://schemas.openxmlformats.org/officeDocument/2006/relationships/hyperlink" Target="https://www.ssa.gov/forms/ssa-194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pera.org/" TargetMode="External"/><Relationship Id="rId17" Type="http://schemas.openxmlformats.org/officeDocument/2006/relationships/hyperlink" Target="https://www.dli.mn.gov/business/employment-practices/wage-theft-law" TargetMode="External"/><Relationship Id="rId2" Type="http://schemas.openxmlformats.org/officeDocument/2006/relationships/numbering" Target="numbering.xml"/><Relationship Id="rId16" Type="http://schemas.openxmlformats.org/officeDocument/2006/relationships/hyperlink" Target="https://www.dli.mn.gov/business/employment-practices/wage-theft-legislation-2019-and-summar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e.state.mn.us/mPg.cfm?pageID=2226" TargetMode="External"/><Relationship Id="rId5" Type="http://schemas.openxmlformats.org/officeDocument/2006/relationships/webSettings" Target="webSettings.xml"/><Relationship Id="rId15" Type="http://schemas.openxmlformats.org/officeDocument/2006/relationships/hyperlink" Target="https://www.lmc.org/wp-content/uploads/documents/HRRM-Labor-Relations.pdf" TargetMode="External"/><Relationship Id="rId10" Type="http://schemas.openxmlformats.org/officeDocument/2006/relationships/hyperlink" Target="https://www.lmc.org/wp-content/uploads/documents/HRRM-Hirin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li.mn.gov/business/employment-practices/wage-theft-legislation-2019-and-summaries" TargetMode="External"/><Relationship Id="rId14" Type="http://schemas.openxmlformats.org/officeDocument/2006/relationships/hyperlink" Target="https://www.dol.gov/sites/dolgov/files/EBSA/laws-and-regulations/laws/cobra/model-general-notic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49756479AF40FDBEAFFD8CE7097223"/>
        <w:category>
          <w:name w:val="General"/>
          <w:gallery w:val="placeholder"/>
        </w:category>
        <w:types>
          <w:type w:val="bbPlcHdr"/>
        </w:types>
        <w:behaviors>
          <w:behavior w:val="content"/>
        </w:behaviors>
        <w:guid w:val="{57415CB8-8D48-4503-B571-B5E42DB5B38E}"/>
      </w:docPartPr>
      <w:docPartBody>
        <w:p w:rsidR="00CD234C" w:rsidRDefault="00CD234C">
          <w:pPr>
            <w:pStyle w:val="BE49756479AF40FDBEAFFD8CE709722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4C"/>
    <w:rsid w:val="006355D7"/>
    <w:rsid w:val="00830831"/>
    <w:rsid w:val="00C76C04"/>
    <w:rsid w:val="00CD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49756479AF40FDBEAFFD8CE7097223">
    <w:name w:val="BE49756479AF40FDBEAFFD8CE7097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7ED8-7200-41B4-A03B-25FBED54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Employee Orientation Checklist</vt:lpstr>
    </vt:vector>
  </TitlesOfParts>
  <Company>League of Minnesota Cities</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Orientation Checklist</dc:title>
  <dc:subject/>
  <dc:creator>League of Minnesota Cities</dc:creator>
  <cp:keywords/>
  <dc:description/>
  <cp:lastModifiedBy>Franklin, Jammie</cp:lastModifiedBy>
  <cp:revision>3</cp:revision>
  <dcterms:created xsi:type="dcterms:W3CDTF">2024-09-10T18:24:00Z</dcterms:created>
  <dcterms:modified xsi:type="dcterms:W3CDTF">2024-09-11T19:41:00Z</dcterms:modified>
</cp:coreProperties>
</file>