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7575" w14:textId="1EF2593C" w:rsidR="00AE0A12" w:rsidRDefault="00B149D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8BBF242FD1024225A7D1725A3D9653A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4D219A">
            <w:rPr>
              <w:rStyle w:val="FooterChar"/>
              <w:rFonts w:ascii="Arial" w:eastAsia="Arial" w:hAnsi="Arial" w:cs="Arial"/>
              <w:b/>
              <w:sz w:val="28"/>
              <w:szCs w:val="28"/>
            </w:rPr>
            <w:t>Classification and Compensation Plan Framework for Smaller Cities</w:t>
          </w:r>
        </w:sdtContent>
      </w:sdt>
      <w:r w:rsidR="007A4845">
        <w:rPr>
          <w:rStyle w:val="FooterChar"/>
          <w:rFonts w:ascii="Arial" w:eastAsia="Arial" w:hAnsi="Arial" w:cs="Arial"/>
          <w:b/>
          <w:sz w:val="28"/>
          <w:szCs w:val="28"/>
        </w:rPr>
        <w:t>, LMC Model</w:t>
      </w:r>
      <w:r w:rsidR="001B30D5">
        <w:rPr>
          <w:rStyle w:val="FooterChar"/>
          <w:rFonts w:ascii="Arial" w:eastAsia="Arial" w:hAnsi="Arial" w:cs="Arial"/>
          <w:b/>
          <w:sz w:val="28"/>
          <w:szCs w:val="28"/>
        </w:rPr>
        <w:t xml:space="preserve"> </w:t>
      </w:r>
    </w:p>
    <w:p w14:paraId="2C09F806" w14:textId="77777777" w:rsidR="007A4845" w:rsidRPr="00E41EF7" w:rsidRDefault="007A4845">
      <w:pPr>
        <w:rPr>
          <w:rStyle w:val="FooterChar"/>
          <w:rFonts w:eastAsia="Arial"/>
        </w:rPr>
      </w:pPr>
    </w:p>
    <w:p w14:paraId="157CD4F3" w14:textId="1A7861B8" w:rsidR="00A7475B" w:rsidRDefault="005A57D6" w:rsidP="00A7475B">
      <w:pPr>
        <w:rPr>
          <w:i/>
          <w:sz w:val="22"/>
          <w:szCs w:val="22"/>
        </w:rPr>
      </w:pPr>
      <w:r w:rsidRPr="007A4845">
        <w:rPr>
          <w:i/>
          <w:sz w:val="22"/>
          <w:szCs w:val="22"/>
        </w:rPr>
        <w:t xml:space="preserve">League </w:t>
      </w:r>
      <w:r w:rsidR="006C775E">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sidR="004D219A">
        <w:rPr>
          <w:i/>
          <w:sz w:val="22"/>
          <w:szCs w:val="22"/>
        </w:rPr>
        <w:t xml:space="preserve">in the </w:t>
      </w:r>
      <w:hyperlink r:id="rId7" w:history="1">
        <w:r w:rsidR="004D219A" w:rsidRPr="000A4CB5">
          <w:rPr>
            <w:rStyle w:val="Hyperlink"/>
            <w:sz w:val="22"/>
            <w:szCs w:val="22"/>
          </w:rPr>
          <w:t>Compensation Chapter</w:t>
        </w:r>
      </w:hyperlink>
      <w:r w:rsidR="004D219A" w:rsidRPr="000A4CB5">
        <w:rPr>
          <w:sz w:val="22"/>
          <w:szCs w:val="22"/>
        </w:rPr>
        <w:t xml:space="preserve"> of the HR Reference Manual.</w:t>
      </w:r>
      <w:r w:rsidR="004D219A">
        <w:rPr>
          <w:i/>
          <w:sz w:val="22"/>
          <w:szCs w:val="22"/>
        </w:rPr>
        <w:t xml:space="preserve"> </w:t>
      </w:r>
    </w:p>
    <w:p w14:paraId="71022ECA" w14:textId="77777777" w:rsidR="004D219A" w:rsidRDefault="004D219A" w:rsidP="00A7475B">
      <w:pPr>
        <w:rPr>
          <w:i/>
          <w:sz w:val="22"/>
          <w:szCs w:val="22"/>
        </w:rPr>
      </w:pPr>
    </w:p>
    <w:p w14:paraId="7BC9E447" w14:textId="77777777" w:rsidR="004D219A" w:rsidRDefault="004D219A" w:rsidP="00A7475B">
      <w:pPr>
        <w:rPr>
          <w:i/>
          <w:sz w:val="22"/>
          <w:szCs w:val="22"/>
        </w:rPr>
      </w:pPr>
      <w:r>
        <w:rPr>
          <w:i/>
          <w:sz w:val="22"/>
          <w:szCs w:val="22"/>
        </w:rPr>
        <w:t>This compensation plan model was developed in cooperation with Saado Abboud, Keystone Compensation Group LLC</w:t>
      </w:r>
    </w:p>
    <w:p w14:paraId="709BC656" w14:textId="77777777" w:rsidR="00A7475B" w:rsidRPr="004D219A" w:rsidRDefault="00A7475B" w:rsidP="00A7475B">
      <w:pPr>
        <w:rPr>
          <w:i/>
          <w:sz w:val="22"/>
          <w:szCs w:val="22"/>
        </w:rPr>
      </w:pPr>
    </w:p>
    <w:p w14:paraId="2314D44B" w14:textId="77777777" w:rsidR="004D219A" w:rsidRPr="004D219A" w:rsidRDefault="004D219A" w:rsidP="004D219A">
      <w:r w:rsidRPr="0090122E">
        <w:rPr>
          <w:b/>
        </w:rPr>
        <w:t>INTRODUCTION</w:t>
      </w:r>
    </w:p>
    <w:p w14:paraId="71210F3E" w14:textId="27CB6E0D" w:rsidR="004D219A" w:rsidRPr="004D219A" w:rsidRDefault="004D219A" w:rsidP="004D219A">
      <w:r w:rsidRPr="004D219A">
        <w:t>The State of Minnesota Local Government Pay Equity Act requires cities with one or more employees to maintain a classification and compensation system that enables them to achieve and maintain internal pay equity compliance. This means every political subdivision of the State must establish equitable compensation relationships between female-dominated, male dominated, and balanced classes of employees in order to eliminate gender-based wage disparities in public employment in Minnesota. For more information on Pay Equity, including links to the State’s Local Government Pay Equity website, please refer to the League’s</w:t>
      </w:r>
      <w:r w:rsidR="0090122E">
        <w:t xml:space="preserve"> Information Memo, </w:t>
      </w:r>
      <w:hyperlink r:id="rId8" w:history="1">
        <w:r w:rsidR="0090122E" w:rsidRPr="00706A8A">
          <w:rPr>
            <w:rStyle w:val="Hyperlink"/>
            <w:i/>
          </w:rPr>
          <w:t>Local Government Pay Equity Act: An Overview</w:t>
        </w:r>
      </w:hyperlink>
      <w:r w:rsidR="0090122E">
        <w:t>.</w:t>
      </w:r>
    </w:p>
    <w:p w14:paraId="1C52C11A" w14:textId="77777777" w:rsidR="0090122E" w:rsidRDefault="0090122E" w:rsidP="004D219A"/>
    <w:p w14:paraId="2DC6B46D" w14:textId="6915F9A0" w:rsidR="004D219A" w:rsidRPr="004D219A" w:rsidRDefault="004D219A" w:rsidP="004D219A">
      <w:r w:rsidRPr="004D219A">
        <w:t xml:space="preserve">Cities considering implementing a new compensation program or revising an existing one, are encouraged to read the </w:t>
      </w:r>
      <w:hyperlink r:id="rId9" w:history="1">
        <w:r w:rsidRPr="006238D5">
          <w:rPr>
            <w:rStyle w:val="Hyperlink"/>
            <w:i/>
          </w:rPr>
          <w:t>Compensation Chapter</w:t>
        </w:r>
      </w:hyperlink>
      <w:r w:rsidRPr="004D219A">
        <w:t xml:space="preserve"> of the HR Reference Manual for a more in-depth discussion of classification and compensation plans.</w:t>
      </w:r>
    </w:p>
    <w:p w14:paraId="3B0472FE" w14:textId="77777777" w:rsidR="004D219A" w:rsidRPr="004D219A" w:rsidRDefault="004D219A" w:rsidP="004D219A"/>
    <w:p w14:paraId="34BC595C" w14:textId="77777777" w:rsidR="004D219A" w:rsidRPr="0090122E" w:rsidRDefault="004D219A" w:rsidP="004D219A">
      <w:pPr>
        <w:rPr>
          <w:b/>
        </w:rPr>
      </w:pPr>
      <w:r w:rsidRPr="0090122E">
        <w:rPr>
          <w:b/>
        </w:rPr>
        <w:t>COMPENSATION STRATEGY</w:t>
      </w:r>
    </w:p>
    <w:p w14:paraId="38BCE528" w14:textId="2F58B23B" w:rsidR="004D219A" w:rsidRDefault="004D219A" w:rsidP="004D219A">
      <w:r w:rsidRPr="004D219A">
        <w:t xml:space="preserve">While pay equity compliance is an important aspect of designing and revising a compensation program, city leadership should </w:t>
      </w:r>
      <w:r w:rsidR="006238D5">
        <w:t>begin</w:t>
      </w:r>
      <w:r w:rsidR="00B149DF">
        <w:t xml:space="preserve"> </w:t>
      </w:r>
      <w:r w:rsidRPr="004D219A">
        <w:t>the process with a road map for developing the new pay program. This road map is called compensation strategy and includes four pillars:</w:t>
      </w:r>
    </w:p>
    <w:p w14:paraId="41AFF4FD" w14:textId="77777777" w:rsidR="0090122E" w:rsidRPr="004D219A" w:rsidRDefault="0090122E" w:rsidP="004D219A"/>
    <w:p w14:paraId="1656765D" w14:textId="77777777" w:rsidR="004D219A" w:rsidRDefault="004D219A" w:rsidP="0090122E">
      <w:pPr>
        <w:pStyle w:val="ListParagraph"/>
        <w:numPr>
          <w:ilvl w:val="0"/>
          <w:numId w:val="3"/>
        </w:numPr>
      </w:pPr>
      <w:r w:rsidRPr="004D219A">
        <w:t>Defining the market which the city draws talent from. Most organizations use population size and geographic locations as the main attributes to sele</w:t>
      </w:r>
      <w:r w:rsidR="0090122E">
        <w:t>cting market peer group cities.</w:t>
      </w:r>
    </w:p>
    <w:p w14:paraId="0E078935" w14:textId="77777777" w:rsidR="0090122E" w:rsidRPr="004D219A" w:rsidRDefault="0090122E" w:rsidP="0090122E">
      <w:pPr>
        <w:pStyle w:val="ListParagraph"/>
      </w:pPr>
    </w:p>
    <w:p w14:paraId="52276B4D" w14:textId="77777777" w:rsidR="004D219A" w:rsidRDefault="004D219A" w:rsidP="0090122E">
      <w:pPr>
        <w:pStyle w:val="ListParagraph"/>
        <w:numPr>
          <w:ilvl w:val="0"/>
          <w:numId w:val="3"/>
        </w:numPr>
      </w:pPr>
      <w:r w:rsidRPr="004D219A">
        <w:t>Defining where the city would like to position its compensation program relative to the market peer group. Most cities use market median as the market reference for comparing the city’s pay program with the market. Some cities may decide to position their program at a level different than the market median based on their ability to fund the new program.</w:t>
      </w:r>
    </w:p>
    <w:p w14:paraId="4D4C59E4" w14:textId="77777777" w:rsidR="0090122E" w:rsidRDefault="0090122E" w:rsidP="0090122E">
      <w:pPr>
        <w:pStyle w:val="ListParagraph"/>
      </w:pPr>
    </w:p>
    <w:p w14:paraId="05214F68" w14:textId="0C45CA5B" w:rsidR="004D219A" w:rsidRDefault="004D219A" w:rsidP="0090122E">
      <w:pPr>
        <w:pStyle w:val="ListParagraph"/>
        <w:numPr>
          <w:ilvl w:val="0"/>
          <w:numId w:val="3"/>
        </w:numPr>
      </w:pPr>
      <w:r w:rsidRPr="004D219A">
        <w:t>Clearly articulate what the city would like to pay for and the behavior it would like to reward. While seniority-based pay programs have been used for many years, some cities are implementing performance-based programs</w:t>
      </w:r>
      <w:r w:rsidR="006238D5">
        <w:t>.</w:t>
      </w:r>
    </w:p>
    <w:p w14:paraId="69EFF882" w14:textId="77777777" w:rsidR="0090122E" w:rsidRPr="004D219A" w:rsidRDefault="0090122E" w:rsidP="0090122E"/>
    <w:p w14:paraId="361D881E" w14:textId="0E141C13" w:rsidR="004D219A" w:rsidRDefault="004D219A" w:rsidP="0090122E">
      <w:pPr>
        <w:pStyle w:val="ListParagraph"/>
        <w:numPr>
          <w:ilvl w:val="0"/>
          <w:numId w:val="3"/>
        </w:numPr>
      </w:pPr>
      <w:r w:rsidRPr="004D219A">
        <w:lastRenderedPageBreak/>
        <w:t>Describing how pay increases are delivered; step pay progression and general increases reward employees for their seniority while merit increases emphasize the importance of employee performance and meeting individual goals</w:t>
      </w:r>
      <w:r w:rsidR="006238D5">
        <w:t>.</w:t>
      </w:r>
    </w:p>
    <w:p w14:paraId="25FBA82A" w14:textId="77777777" w:rsidR="0090122E" w:rsidRPr="004D219A" w:rsidRDefault="0090122E" w:rsidP="0090122E"/>
    <w:p w14:paraId="426F0EC0" w14:textId="1E6130C8" w:rsidR="004D219A" w:rsidRDefault="004D219A" w:rsidP="005815D8">
      <w:r w:rsidRPr="004D219A">
        <w:t xml:space="preserve">Developing a clear understanding of compensation strategy pillars is important to ensure the </w:t>
      </w:r>
      <w:r w:rsidR="006238D5">
        <w:t xml:space="preserve">city’s </w:t>
      </w:r>
      <w:r w:rsidRPr="004D219A">
        <w:t>pay program is implementing meets the objectives expected from the program. An example of step compensation programs is found on page seven.</w:t>
      </w:r>
    </w:p>
    <w:p w14:paraId="3995BE22" w14:textId="77777777" w:rsidR="00706A8A" w:rsidRDefault="00706A8A" w:rsidP="00706A8A">
      <w:pPr>
        <w:pStyle w:val="ListParagraph"/>
      </w:pPr>
    </w:p>
    <w:p w14:paraId="40ABE4C9" w14:textId="77777777" w:rsidR="00706A8A" w:rsidRPr="00B16E84" w:rsidRDefault="00706A8A" w:rsidP="00706A8A">
      <w:pPr>
        <w:rPr>
          <w:b/>
        </w:rPr>
      </w:pPr>
      <w:r w:rsidRPr="00B16E84">
        <w:rPr>
          <w:b/>
        </w:rPr>
        <w:t>CLASSIFICATION &amp; COMPENSATION PROGRAM BUILDING BLOCKS</w:t>
      </w:r>
    </w:p>
    <w:p w14:paraId="1D74C2F8" w14:textId="0D4A2133" w:rsidR="00706A8A" w:rsidRDefault="00706A8A" w:rsidP="00706A8A">
      <w:r>
        <w:t>For a city to develop a new compensation system, it requires the following elements:</w:t>
      </w:r>
    </w:p>
    <w:p w14:paraId="6FE84FE8" w14:textId="77777777" w:rsidR="00B16E84" w:rsidRDefault="00B16E84" w:rsidP="00706A8A"/>
    <w:p w14:paraId="236876AB" w14:textId="145A576D" w:rsidR="00706A8A" w:rsidRPr="00B16E84" w:rsidRDefault="00706A8A" w:rsidP="00B16E84">
      <w:pPr>
        <w:pStyle w:val="ListParagraph"/>
        <w:numPr>
          <w:ilvl w:val="0"/>
          <w:numId w:val="4"/>
        </w:numPr>
        <w:rPr>
          <w:b/>
        </w:rPr>
      </w:pPr>
      <w:r w:rsidRPr="00B16E84">
        <w:rPr>
          <w:b/>
        </w:rPr>
        <w:t>Clearly articulated compensation strategy to guide the program design and to help communicate the program to employees.</w:t>
      </w:r>
    </w:p>
    <w:p w14:paraId="102373EA" w14:textId="77777777" w:rsidR="00B16E84" w:rsidRDefault="00B16E84" w:rsidP="00706A8A"/>
    <w:p w14:paraId="799D380A" w14:textId="3C8DCABD" w:rsidR="00706A8A" w:rsidRDefault="00706A8A" w:rsidP="00706A8A">
      <w:r>
        <w:t>A compensation strategy serves as the compass for directing the design, administration, and communication of the compensation program. As described earlier, taking time during the earlier stages of developing the compensation program to articulate the city’s compensation strategy, significantly reduces the potential for misconceptions about what the compensation program is meant to achieve.</w:t>
      </w:r>
    </w:p>
    <w:p w14:paraId="26A78955" w14:textId="77777777" w:rsidR="00B16E84" w:rsidRDefault="00B16E84" w:rsidP="00706A8A"/>
    <w:p w14:paraId="1F7BC122" w14:textId="6C5E213B" w:rsidR="00706A8A" w:rsidRPr="00B16E84" w:rsidRDefault="00706A8A" w:rsidP="00B16E84">
      <w:pPr>
        <w:pStyle w:val="ListParagraph"/>
        <w:numPr>
          <w:ilvl w:val="0"/>
          <w:numId w:val="4"/>
        </w:numPr>
        <w:rPr>
          <w:b/>
        </w:rPr>
      </w:pPr>
      <w:r w:rsidRPr="00B16E84">
        <w:rPr>
          <w:b/>
        </w:rPr>
        <w:t>Current, complete, and accurate job descriptions.</w:t>
      </w:r>
    </w:p>
    <w:p w14:paraId="6115E4CF" w14:textId="77777777" w:rsidR="00B16E84" w:rsidRDefault="00B16E84" w:rsidP="00706A8A"/>
    <w:p w14:paraId="69AD0599" w14:textId="097ED09E" w:rsidR="00706A8A" w:rsidRDefault="00706A8A" w:rsidP="00706A8A">
      <w:r>
        <w:t>Once the compensation strategy is defined, the next step in creating a new compensation program is to prepare job description documents based on how the work is currently performed. This contributes to reducing the amount of work redundancies among jobs and clearly assigns job duties and accountability for doing them. Well written job descriptions are essential for classifying jobs internally in an equitable manner using the city’s chosen job evaluation system. They are also important for preparing useful comparisons for the city’s compensation program with the competitive market. Additionally, well-written job descriptions are valuable tools for hiring the right employees with the right qualifications to do the work.</w:t>
      </w:r>
    </w:p>
    <w:p w14:paraId="5D89C957" w14:textId="77777777" w:rsidR="00B16E84" w:rsidRDefault="00B16E84" w:rsidP="00706A8A"/>
    <w:p w14:paraId="2DBCAD07" w14:textId="0F2A1C3B" w:rsidR="00706A8A" w:rsidRDefault="00706A8A" w:rsidP="00706A8A">
      <w:r>
        <w:t xml:space="preserve">It is important to stick to the job as it exists now, avoid </w:t>
      </w:r>
      <w:r w:rsidR="00B16E84">
        <w:t xml:space="preserve">using complicated terminology, </w:t>
      </w:r>
      <w:r>
        <w:t>and limit the number of priorities to eight to-10 job functions. Job descriptions should include:</w:t>
      </w:r>
    </w:p>
    <w:p w14:paraId="3A46B558" w14:textId="4493110B" w:rsidR="00706A8A" w:rsidRDefault="00706A8A" w:rsidP="00B16E84">
      <w:pPr>
        <w:pStyle w:val="ListParagraph"/>
        <w:numPr>
          <w:ilvl w:val="0"/>
          <w:numId w:val="5"/>
        </w:numPr>
        <w:ind w:left="1080"/>
      </w:pPr>
      <w:r w:rsidRPr="00B16E84">
        <w:rPr>
          <w:i/>
        </w:rPr>
        <w:t>A meaningful job title reflecting the duties assigned to the job</w:t>
      </w:r>
      <w:r>
        <w:t xml:space="preserve">. For example: “Directors” are generally accountable for an entire department – strategic planning, budgeting, directing  staff, supervision, and work scheduling; “Coordinators” generally don’t supervise staff but do make sure workflows from different areas are well-coordinated to ensure the delivery of the final products or services; “Supervisors” generally have first level supervisory responsibility with accountability over specific groups of employees and the work assigned to those employees; “Program Managers” are generally </w:t>
      </w:r>
      <w:r>
        <w:lastRenderedPageBreak/>
        <w:t>responsible for a specific program which includes planning, communicating, ensuring resources are available, and monitoring the outcomes.</w:t>
      </w:r>
    </w:p>
    <w:p w14:paraId="45A7B59A" w14:textId="77777777" w:rsidR="00706A8A" w:rsidRDefault="00706A8A" w:rsidP="00B16E84">
      <w:pPr>
        <w:ind w:left="360"/>
      </w:pPr>
    </w:p>
    <w:p w14:paraId="4DEEBD78" w14:textId="66E4185E" w:rsidR="00706A8A" w:rsidRDefault="00706A8A" w:rsidP="00B16E84">
      <w:pPr>
        <w:pStyle w:val="ListParagraph"/>
        <w:numPr>
          <w:ilvl w:val="0"/>
          <w:numId w:val="5"/>
        </w:numPr>
        <w:ind w:left="1080"/>
      </w:pPr>
      <w:r w:rsidRPr="00B16E84">
        <w:rPr>
          <w:i/>
        </w:rPr>
        <w:t>Reporting relationship of the position</w:t>
      </w:r>
      <w:r>
        <w:t xml:space="preserve"> (e.g., what position supervises this position and what other position(s), if any, does this position supervise?)</w:t>
      </w:r>
    </w:p>
    <w:p w14:paraId="5AE78D58" w14:textId="77777777" w:rsidR="00706A8A" w:rsidRDefault="00706A8A" w:rsidP="00B16E84">
      <w:pPr>
        <w:ind w:left="360"/>
      </w:pPr>
    </w:p>
    <w:p w14:paraId="00264044" w14:textId="646FA4A0" w:rsidR="00706A8A" w:rsidRPr="00B16E84" w:rsidRDefault="00706A8A" w:rsidP="00B16E84">
      <w:pPr>
        <w:pStyle w:val="ListParagraph"/>
        <w:numPr>
          <w:ilvl w:val="0"/>
          <w:numId w:val="5"/>
        </w:numPr>
        <w:ind w:left="1080"/>
        <w:rPr>
          <w:i/>
        </w:rPr>
      </w:pPr>
      <w:r w:rsidRPr="00B16E84">
        <w:rPr>
          <w:i/>
        </w:rPr>
        <w:t>Date of latest revision of the job description document.</w:t>
      </w:r>
    </w:p>
    <w:p w14:paraId="567C1544" w14:textId="77777777" w:rsidR="00706A8A" w:rsidRDefault="00706A8A" w:rsidP="00B16E84">
      <w:pPr>
        <w:ind w:left="360"/>
      </w:pPr>
    </w:p>
    <w:p w14:paraId="7148C41E" w14:textId="681A8133" w:rsidR="00706A8A" w:rsidRDefault="00706A8A" w:rsidP="00B16E84">
      <w:pPr>
        <w:pStyle w:val="ListParagraph"/>
        <w:numPr>
          <w:ilvl w:val="0"/>
          <w:numId w:val="5"/>
        </w:numPr>
        <w:ind w:left="1080"/>
      </w:pPr>
      <w:r w:rsidRPr="00B16E84">
        <w:rPr>
          <w:i/>
        </w:rPr>
        <w:t>A concise and clear job summary explaining why the job exists and the level of work performed</w:t>
      </w:r>
      <w:r>
        <w:t xml:space="preserve"> (example: </w:t>
      </w:r>
      <w:r w:rsidR="006238D5">
        <w:t xml:space="preserve">administrative </w:t>
      </w:r>
      <w:r>
        <w:t>level, professional level, top management level). This helps with placement of the job within the city’s classification hierarchy. For example, a Street Maintenance Supervisor position exists to ensure the appropriate work is completed to maintain the city streets. Because it is the supervisor’s job to ensure this work is done, the job would be at a higher level than a Maintenance Worker job responsible for carrying out the work assigned by the Maintenance Supervisor.</w:t>
      </w:r>
    </w:p>
    <w:p w14:paraId="0F98A923" w14:textId="77777777" w:rsidR="00706A8A" w:rsidRDefault="00706A8A" w:rsidP="00B16E84">
      <w:pPr>
        <w:ind w:left="360"/>
      </w:pPr>
    </w:p>
    <w:p w14:paraId="6E9D6F77" w14:textId="3DD867FC" w:rsidR="00706A8A" w:rsidRDefault="00706A8A" w:rsidP="00B16E84">
      <w:pPr>
        <w:pStyle w:val="ListParagraph"/>
        <w:numPr>
          <w:ilvl w:val="0"/>
          <w:numId w:val="5"/>
        </w:numPr>
        <w:ind w:left="1080"/>
      </w:pPr>
      <w:r w:rsidRPr="00B16E84">
        <w:rPr>
          <w:i/>
        </w:rPr>
        <w:t>Eight to ten important job functions assigned to the job.</w:t>
      </w:r>
      <w:r>
        <w:t xml:space="preserve"> These statements will describe the outcomes of the work instead of providing a long list of the individual tasks performed. For example, if the tasks include sending invoices, following up, recording funds received, and reconciling accounts, then the job function would be “responsible for accounts receivables” and may add a couple of bullet points to expand on the main job function, if needed. The objective is not to list every task </w:t>
      </w:r>
      <w:r w:rsidR="006238D5">
        <w:t>performed but</w:t>
      </w:r>
      <w:r>
        <w:t xml:space="preserve"> provide representative bundles of tasks/outcomes.</w:t>
      </w:r>
    </w:p>
    <w:p w14:paraId="28CA1A93" w14:textId="77777777" w:rsidR="00706A8A" w:rsidRDefault="00706A8A" w:rsidP="00B16E84">
      <w:pPr>
        <w:ind w:left="360"/>
      </w:pPr>
    </w:p>
    <w:p w14:paraId="6C6A3412" w14:textId="5BDB7F7B" w:rsidR="00706A8A" w:rsidRDefault="00B16E84" w:rsidP="00B16E84">
      <w:pPr>
        <w:pStyle w:val="ListParagraph"/>
        <w:numPr>
          <w:ilvl w:val="0"/>
          <w:numId w:val="5"/>
        </w:numPr>
        <w:ind w:left="1080"/>
      </w:pPr>
      <w:r w:rsidRPr="00B16E84">
        <w:rPr>
          <w:i/>
        </w:rPr>
        <w:t>T</w:t>
      </w:r>
      <w:r w:rsidR="00706A8A" w:rsidRPr="00B16E84">
        <w:rPr>
          <w:i/>
        </w:rPr>
        <w:t>he minimum requirements a job candidate needs to qualify for the job.</w:t>
      </w:r>
      <w:r w:rsidR="00706A8A">
        <w:t xml:space="preserve"> This includes formal education necessary to learn the field (e.g.</w:t>
      </w:r>
      <w:r w:rsidR="006238D5">
        <w:t>,</w:t>
      </w:r>
      <w:r w:rsidR="00706A8A">
        <w:t xml:space="preserve"> college degree in accounting, engineering, or social work), on the job minimum years of experience needed to learn how to perform the job functions delegated to the position, and, any required licenses or certificates needed to perform the work (e.g.</w:t>
      </w:r>
      <w:r w:rsidR="006238D5">
        <w:t>,</w:t>
      </w:r>
      <w:r w:rsidR="00706A8A">
        <w:t xml:space="preserve"> CDL </w:t>
      </w:r>
      <w:r w:rsidR="006238D5">
        <w:t>holder performing safety</w:t>
      </w:r>
      <w:r w:rsidR="00096BF2">
        <w:t>-</w:t>
      </w:r>
      <w:r w:rsidR="006238D5">
        <w:t xml:space="preserve">sensitive </w:t>
      </w:r>
      <w:r w:rsidR="00096BF2">
        <w:t>functions on certain commercial motor vehicles</w:t>
      </w:r>
      <w:r w:rsidR="00706A8A">
        <w:t xml:space="preserve">). </w:t>
      </w:r>
      <w:r w:rsidR="00096BF2">
        <w:t xml:space="preserve">While some positions require college degrees because </w:t>
      </w:r>
      <w:r w:rsidR="00B84FCE">
        <w:t xml:space="preserve">the degree is </w:t>
      </w:r>
      <w:r w:rsidR="00096BF2">
        <w:t xml:space="preserve">job related and consistent with business necessity, other </w:t>
      </w:r>
      <w:r w:rsidR="00B84FCE">
        <w:t xml:space="preserve">positions </w:t>
      </w:r>
      <w:r w:rsidR="00096BF2">
        <w:t>may not</w:t>
      </w:r>
      <w:r w:rsidR="00B84FCE">
        <w:t>. M</w:t>
      </w:r>
      <w:r w:rsidR="00096BF2">
        <w:t xml:space="preserve">any employers are finding success in dropping degree requirements in light of near-historic levels of job openings.  </w:t>
      </w:r>
      <w:r w:rsidR="00706A8A">
        <w:t xml:space="preserve">It is </w:t>
      </w:r>
      <w:r w:rsidR="00B84FCE">
        <w:t xml:space="preserve">vital </w:t>
      </w:r>
      <w:r w:rsidR="00706A8A">
        <w:t>for job responsibilities and minimum requirements to match. For example, it is unusual to require an engineering college level degree for Engineering Technician job duties.</w:t>
      </w:r>
    </w:p>
    <w:p w14:paraId="415C78FF" w14:textId="77777777" w:rsidR="00706A8A" w:rsidRDefault="00706A8A" w:rsidP="00B16E84">
      <w:pPr>
        <w:ind w:left="360"/>
      </w:pPr>
    </w:p>
    <w:p w14:paraId="139A9C31" w14:textId="29279E8E" w:rsidR="00706A8A" w:rsidRDefault="00706A8A" w:rsidP="00B16E84">
      <w:pPr>
        <w:pStyle w:val="ListParagraph"/>
        <w:numPr>
          <w:ilvl w:val="0"/>
          <w:numId w:val="5"/>
        </w:numPr>
        <w:ind w:left="1080"/>
      </w:pPr>
      <w:r w:rsidRPr="00B16E84">
        <w:rPr>
          <w:i/>
        </w:rPr>
        <w:t>Other desirable, but not required qualifications that a job candidate might have which would set them apart from other candidates for the job</w:t>
      </w:r>
      <w:r>
        <w:t xml:space="preserve"> (e.g., additional years or specialized experience, educational requirements above and beyond the minimum required, </w:t>
      </w:r>
      <w:r w:rsidR="00B84FCE" w:rsidRPr="00B84FCE">
        <w:t>fluency in a second language,</w:t>
      </w:r>
      <w:r w:rsidR="00B84FCE">
        <w:t xml:space="preserve"> or </w:t>
      </w:r>
      <w:r>
        <w:t xml:space="preserve">previous experience running a specialized software or </w:t>
      </w:r>
      <w:r w:rsidR="00B84FCE">
        <w:t xml:space="preserve">specific equipment </w:t>
      </w:r>
      <w:r>
        <w:t>which may help them achieve their work faster and more efficiently, etc.).</w:t>
      </w:r>
    </w:p>
    <w:p w14:paraId="2D66B734" w14:textId="77777777" w:rsidR="00706A8A" w:rsidRDefault="00706A8A" w:rsidP="00B16E84">
      <w:pPr>
        <w:ind w:left="360"/>
      </w:pPr>
    </w:p>
    <w:p w14:paraId="588F1098" w14:textId="138266D6" w:rsidR="00706A8A" w:rsidRDefault="00706A8A" w:rsidP="00B16E84">
      <w:pPr>
        <w:pStyle w:val="ListParagraph"/>
        <w:numPr>
          <w:ilvl w:val="0"/>
          <w:numId w:val="5"/>
        </w:numPr>
        <w:ind w:left="1080"/>
      </w:pPr>
      <w:r w:rsidRPr="00B16E84">
        <w:rPr>
          <w:i/>
        </w:rPr>
        <w:t>Work environment and physical requirements to perform the job.</w:t>
      </w:r>
      <w:r>
        <w:t xml:space="preserve"> This refers to where the work is performed, level of exposure to hazards and unpleasant elements, physical abilities required to do the work. </w:t>
      </w:r>
    </w:p>
    <w:p w14:paraId="037C74BC" w14:textId="77777777" w:rsidR="00706A8A" w:rsidRDefault="00706A8A" w:rsidP="00B16E84">
      <w:pPr>
        <w:ind w:left="360"/>
      </w:pPr>
    </w:p>
    <w:p w14:paraId="5896F7C8" w14:textId="506179F1" w:rsidR="00706A8A" w:rsidRDefault="00706A8A" w:rsidP="00B16E84">
      <w:pPr>
        <w:pStyle w:val="ListParagraph"/>
        <w:numPr>
          <w:ilvl w:val="0"/>
          <w:numId w:val="5"/>
        </w:numPr>
        <w:ind w:left="1080"/>
      </w:pPr>
      <w:r>
        <w:t xml:space="preserve">It is important job descriptions be written in a way so as </w:t>
      </w:r>
      <w:r w:rsidRPr="00B16E84">
        <w:rPr>
          <w:i/>
        </w:rPr>
        <w:t>not to discriminate against potential candidates.  In other words, cities will want to ensure they are not including requirements that can be met through providing reasonable accommodations.</w:t>
      </w:r>
      <w:r>
        <w:t xml:space="preserve"> For example, a requirement such as a worker “must be able to constantly lift, move, and push objects weighing at least 100 pounds” could be problematic; such heavy weight could be lifted or moved by using specialized equipment and requiring lifting of 100 pounds could discriminate against applicants who are not able to do that.</w:t>
      </w:r>
    </w:p>
    <w:p w14:paraId="00185750" w14:textId="77777777" w:rsidR="00B16E84" w:rsidRDefault="00B16E84" w:rsidP="00706A8A"/>
    <w:p w14:paraId="32ACA94B" w14:textId="3C8362AB" w:rsidR="00706A8A" w:rsidRDefault="00706A8A" w:rsidP="005815D8">
      <w:pPr>
        <w:ind w:left="1080"/>
      </w:pPr>
      <w:r>
        <w:t xml:space="preserve">A sample job description </w:t>
      </w:r>
      <w:r w:rsidR="00B84FCE">
        <w:t>can</w:t>
      </w:r>
      <w:r w:rsidR="007D7065">
        <w:t xml:space="preserve"> </w:t>
      </w:r>
      <w:r w:rsidR="00B84FCE">
        <w:t xml:space="preserve">be found </w:t>
      </w:r>
      <w:hyperlink r:id="rId10" w:history="1">
        <w:r w:rsidR="00B84FCE" w:rsidRPr="00B84FCE">
          <w:rPr>
            <w:rStyle w:val="Hyperlink"/>
          </w:rPr>
          <w:t>here</w:t>
        </w:r>
      </w:hyperlink>
      <w:r w:rsidR="00B84FCE">
        <w:t>.</w:t>
      </w:r>
    </w:p>
    <w:p w14:paraId="16BCA564" w14:textId="77777777" w:rsidR="00B16E84" w:rsidRDefault="00B16E84" w:rsidP="00706A8A"/>
    <w:p w14:paraId="24E782D5" w14:textId="12FC886F" w:rsidR="00706A8A" w:rsidRPr="00AB4045" w:rsidRDefault="00706A8A" w:rsidP="00B16E84">
      <w:pPr>
        <w:pStyle w:val="ListParagraph"/>
        <w:numPr>
          <w:ilvl w:val="0"/>
          <w:numId w:val="4"/>
        </w:numPr>
        <w:rPr>
          <w:b/>
        </w:rPr>
      </w:pPr>
      <w:r w:rsidRPr="00AB4045">
        <w:rPr>
          <w:b/>
        </w:rPr>
        <w:t>A job classification and leveling system, also known as job evaluation system.</w:t>
      </w:r>
    </w:p>
    <w:p w14:paraId="698D60A9" w14:textId="77777777" w:rsidR="00B16E84" w:rsidRDefault="00B16E84" w:rsidP="00706A8A"/>
    <w:p w14:paraId="6092DE06" w14:textId="5C62EFC2" w:rsidR="00706A8A" w:rsidRDefault="00706A8A" w:rsidP="00AB4045">
      <w:pPr>
        <w:ind w:left="360"/>
      </w:pPr>
      <w:r>
        <w:t>The purpose of using a job evaluation system is to have an equitable and repeatable process for objectively placing jobs in the organizational hierarchy. Such a system helps with building internally equitable and externally com</w:t>
      </w:r>
      <w:r w:rsidR="004D15F2">
        <w:t xml:space="preserve">petitive pay grades and ranges. </w:t>
      </w:r>
      <w:r>
        <w:t>The evaluation system is job-based and therefore, evaluates the job, not the incumbent in that job. Such a system is also required to prove compliance with the Minnesota Local Government Pay Equity Act.</w:t>
      </w:r>
    </w:p>
    <w:p w14:paraId="5A94BA98" w14:textId="77777777" w:rsidR="004D15F2" w:rsidRDefault="004D15F2" w:rsidP="00AB4045">
      <w:pPr>
        <w:ind w:left="360"/>
      </w:pPr>
    </w:p>
    <w:p w14:paraId="7D5C724E" w14:textId="4F6FC152" w:rsidR="00706A8A" w:rsidRDefault="00706A8A" w:rsidP="00AB4045">
      <w:pPr>
        <w:ind w:left="360"/>
      </w:pPr>
      <w:r>
        <w:t>In this model compensation plan, job evaluation points</w:t>
      </w:r>
      <w:r w:rsidR="00EB5E53">
        <w:t>, as well as job titles and grades,</w:t>
      </w:r>
      <w:r>
        <w:t xml:space="preserve"> are provided in the </w:t>
      </w:r>
      <w:r w:rsidR="00EB5E53" w:rsidRPr="00EB5E53">
        <w:t>Sample Classification H</w:t>
      </w:r>
      <w:r w:rsidR="00EB5E53">
        <w:t>ierarchy for Small Cities Table</w:t>
      </w:r>
      <w:r w:rsidR="00EB5E53" w:rsidRPr="00EB5E53">
        <w:t xml:space="preserve"> </w:t>
      </w:r>
      <w:r w:rsidR="00EB5E53">
        <w:t>below</w:t>
      </w:r>
      <w:r>
        <w:t xml:space="preserve">. The factors used to establish the points for each job class include:  </w:t>
      </w:r>
    </w:p>
    <w:p w14:paraId="247394AD" w14:textId="77777777" w:rsidR="00B16E84" w:rsidRDefault="00B16E84" w:rsidP="00706A8A"/>
    <w:p w14:paraId="5E9A0A47" w14:textId="37FB6129" w:rsidR="00706A8A" w:rsidRDefault="00706A8A" w:rsidP="00AB4045">
      <w:pPr>
        <w:pStyle w:val="ListParagraph"/>
        <w:numPr>
          <w:ilvl w:val="1"/>
          <w:numId w:val="6"/>
        </w:numPr>
        <w:ind w:left="1080"/>
      </w:pPr>
      <w:r>
        <w:t>Knowledge, skills, and competence: This refers to the formal knowledge gained through formal education, training, and skills gained through work experience required to qualify for the job and achieve the overall purpose of that job.</w:t>
      </w:r>
    </w:p>
    <w:p w14:paraId="56892E04" w14:textId="77777777" w:rsidR="00706A8A" w:rsidRDefault="00706A8A" w:rsidP="00AB4045"/>
    <w:p w14:paraId="67B742B1" w14:textId="1CADF717" w:rsidR="00706A8A" w:rsidRDefault="00706A8A" w:rsidP="00AB4045">
      <w:pPr>
        <w:pStyle w:val="ListParagraph"/>
        <w:numPr>
          <w:ilvl w:val="1"/>
          <w:numId w:val="6"/>
        </w:numPr>
        <w:ind w:left="1080"/>
      </w:pPr>
      <w:r>
        <w:t>Responsibility/Accountability: This factor evaluates the impact by the job holder on achievement of team, department, or division objectives. It assumes that with each delegation of authority, there is a corresponding responsibility to achieve specific output or business results.</w:t>
      </w:r>
    </w:p>
    <w:p w14:paraId="58ECE5B3" w14:textId="235B5AFD" w:rsidR="00DC1127" w:rsidRDefault="00DC1127" w:rsidP="00DC1127"/>
    <w:p w14:paraId="7C866813" w14:textId="2BBE4C5A" w:rsidR="00706A8A" w:rsidRDefault="00706A8A" w:rsidP="00AB4045">
      <w:pPr>
        <w:pStyle w:val="ListParagraph"/>
        <w:numPr>
          <w:ilvl w:val="1"/>
          <w:numId w:val="6"/>
        </w:numPr>
        <w:ind w:left="1080"/>
      </w:pPr>
      <w:r>
        <w:t xml:space="preserve">Complexity/Mental Effort: This factor refers to the diversity of the work carried out and the complexity of the decisions to be made. It accounts for the different level of demand for the use of intellectual faculties, concentration of knowledge, and creative thinking. </w:t>
      </w:r>
    </w:p>
    <w:p w14:paraId="4B5390B2" w14:textId="77777777" w:rsidR="00706A8A" w:rsidRDefault="00706A8A" w:rsidP="00AB4045"/>
    <w:p w14:paraId="5FE2D6CD" w14:textId="25F58F43" w:rsidR="00706A8A" w:rsidRDefault="00706A8A" w:rsidP="00AB4045">
      <w:pPr>
        <w:pStyle w:val="ListParagraph"/>
        <w:numPr>
          <w:ilvl w:val="1"/>
          <w:numId w:val="6"/>
        </w:numPr>
        <w:ind w:left="1080"/>
      </w:pPr>
      <w:r>
        <w:lastRenderedPageBreak/>
        <w:t>Contacts and Interpersonal Skills: Evaluates the extent of which the work involves making contacts and communicating with people inside and outside the organization, and the nature of interpersonal communications required (example: giving and receiving information vs. negotiations and persuasion).</w:t>
      </w:r>
    </w:p>
    <w:p w14:paraId="1C576405" w14:textId="77777777" w:rsidR="00706A8A" w:rsidRDefault="00706A8A" w:rsidP="00AB4045"/>
    <w:p w14:paraId="5FA4DCB8" w14:textId="33792CFD" w:rsidR="00706A8A" w:rsidRDefault="00706A8A" w:rsidP="00AB4045">
      <w:pPr>
        <w:pStyle w:val="ListParagraph"/>
        <w:numPr>
          <w:ilvl w:val="1"/>
          <w:numId w:val="6"/>
        </w:numPr>
        <w:ind w:left="1080"/>
      </w:pPr>
      <w:r>
        <w:t>Work Environment: This factor is concerned with the level of exposure to unpleasant conditions, extreme temperatures, probability of exposure to injury, and health hazards while performing regular job duties.</w:t>
      </w:r>
    </w:p>
    <w:p w14:paraId="01C02843" w14:textId="3FB8F936" w:rsidR="00AB4045" w:rsidRDefault="00AB4045" w:rsidP="00706A8A"/>
    <w:p w14:paraId="2BDC03AF" w14:textId="741FABC7" w:rsidR="00AB4045" w:rsidRDefault="00AB4045" w:rsidP="00AB4045">
      <w:r>
        <w:t>A city can develop its own job evaluation methodology, hire an outside consultant, or use the job evaluation system provided by the State of Minnesota (</w:t>
      </w:r>
      <w:hyperlink r:id="rId11" w:history="1">
        <w:r w:rsidRPr="00F8393B">
          <w:rPr>
            <w:rStyle w:val="Hyperlink"/>
          </w:rPr>
          <w:t>the State Job Match</w:t>
        </w:r>
      </w:hyperlink>
      <w:r>
        <w:t xml:space="preserve">).  </w:t>
      </w:r>
    </w:p>
    <w:p w14:paraId="6C47E24E" w14:textId="77777777" w:rsidR="00AB4045" w:rsidRDefault="00AB4045" w:rsidP="00AB4045"/>
    <w:p w14:paraId="32861330" w14:textId="677E1DBE" w:rsidR="00AB4045" w:rsidRDefault="00AB4045" w:rsidP="00AB4045">
      <w:r w:rsidRPr="00F8393B">
        <w:rPr>
          <w:b/>
        </w:rPr>
        <w:t>NOTE:</w:t>
      </w:r>
      <w:r>
        <w:t xml:space="preserve"> If the State Job Match job evaluation methodology is chosen, read the instructions very carefully on how to apply this methodology.</w:t>
      </w:r>
    </w:p>
    <w:p w14:paraId="6BBDC31D" w14:textId="77777777" w:rsidR="00F8393B" w:rsidRDefault="00F8393B" w:rsidP="00AB4045"/>
    <w:p w14:paraId="5C9ADE45" w14:textId="4DEBD7AC" w:rsidR="00AB4045" w:rsidRDefault="00AB4045" w:rsidP="00AB4045">
      <w:r>
        <w:t xml:space="preserve">Below is a sample grade classification hierarchy containing eleven positions often found in smaller cities. The open grades have been supplied to leave room for future positions or promotions; any given city may or may not ever use the open grades depending on its size or population growth.  </w:t>
      </w:r>
    </w:p>
    <w:p w14:paraId="0AED7C5E" w14:textId="77777777" w:rsidR="00AB4045" w:rsidRDefault="00AB4045" w:rsidP="00AB4045"/>
    <w:p w14:paraId="4DE352D4" w14:textId="78BA5DE4" w:rsidR="00AB4045" w:rsidRDefault="00AB4045" w:rsidP="00AB4045">
      <w:r w:rsidRPr="00F8393B">
        <w:rPr>
          <w:b/>
        </w:rPr>
        <w:t>NOTE:</w:t>
      </w:r>
      <w:r>
        <w:t xml:space="preserve"> Job evaluation points for any of these positions will vary based on job responsibility, organization structure, and the actual population size of the city. While the grades and points provided below are tied to the ranges maximums to ensure internal equity, pay equity testing should always be done to establish the city’s compliance status based on current pay practices</w:t>
      </w:r>
      <w:r w:rsidR="00F8393B">
        <w:t>.</w:t>
      </w:r>
    </w:p>
    <w:p w14:paraId="68E2909A" w14:textId="420B029B" w:rsidR="00F8393B" w:rsidRDefault="00F8393B" w:rsidP="00AB4045"/>
    <w:p w14:paraId="185224EC" w14:textId="77777777" w:rsidR="00F8393B" w:rsidRPr="00F8393B" w:rsidRDefault="00F8393B" w:rsidP="00F8393B">
      <w:pPr>
        <w:jc w:val="center"/>
        <w:rPr>
          <w:b/>
          <w:bCs/>
        </w:rPr>
      </w:pPr>
      <w:r w:rsidRPr="00F8393B">
        <w:rPr>
          <w:b/>
          <w:bCs/>
        </w:rPr>
        <w:t>Sample Classification Hierarchy for Small Cities</w:t>
      </w:r>
    </w:p>
    <w:p w14:paraId="225F2164" w14:textId="77777777" w:rsidR="00F8393B" w:rsidRPr="00F8393B" w:rsidRDefault="00F8393B" w:rsidP="00F8393B"/>
    <w:tbl>
      <w:tblPr>
        <w:tblStyle w:val="TableGrid"/>
        <w:tblW w:w="6745" w:type="dxa"/>
        <w:jc w:val="center"/>
        <w:tblBorders>
          <w:insideH w:val="none" w:sz="0" w:space="0" w:color="auto"/>
          <w:insideV w:val="none" w:sz="0" w:space="0" w:color="auto"/>
        </w:tblBorders>
        <w:tblLook w:val="04A0" w:firstRow="1" w:lastRow="0" w:firstColumn="1" w:lastColumn="0" w:noHBand="0" w:noVBand="1"/>
      </w:tblPr>
      <w:tblGrid>
        <w:gridCol w:w="1281"/>
        <w:gridCol w:w="1347"/>
        <w:gridCol w:w="4117"/>
      </w:tblGrid>
      <w:tr w:rsidR="00F8393B" w:rsidRPr="00F8393B" w14:paraId="2319BBC5" w14:textId="77777777" w:rsidTr="00AE4EE8">
        <w:trPr>
          <w:trHeight w:hRule="exact" w:val="641"/>
          <w:tblHeader/>
          <w:jc w:val="center"/>
        </w:trPr>
        <w:tc>
          <w:tcPr>
            <w:tcW w:w="1281" w:type="dxa"/>
            <w:tcBorders>
              <w:top w:val="single" w:sz="4" w:space="0" w:color="auto"/>
              <w:bottom w:val="single" w:sz="4" w:space="0" w:color="auto"/>
              <w:right w:val="single" w:sz="4" w:space="0" w:color="auto"/>
            </w:tcBorders>
            <w:shd w:val="clear" w:color="auto" w:fill="BFBFBF" w:themeFill="background1" w:themeFillShade="BF"/>
            <w:vAlign w:val="bottom"/>
          </w:tcPr>
          <w:p w14:paraId="3690C0E3" w14:textId="77777777" w:rsidR="00F8393B" w:rsidRPr="00F8393B" w:rsidRDefault="00F8393B" w:rsidP="00F8393B">
            <w:pPr>
              <w:rPr>
                <w:b/>
                <w:bCs/>
              </w:rPr>
            </w:pPr>
            <w:r w:rsidRPr="00F8393B">
              <w:rPr>
                <w:b/>
                <w:bCs/>
              </w:rPr>
              <w:t>Grade Level</w:t>
            </w:r>
          </w:p>
          <w:p w14:paraId="6A4489D9" w14:textId="77777777" w:rsidR="00F8393B" w:rsidRPr="00F8393B" w:rsidRDefault="00F8393B" w:rsidP="00F8393B">
            <w:pPr>
              <w:rPr>
                <w:b/>
                <w:bCs/>
              </w:rPr>
            </w:pP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2692B50" w14:textId="77777777" w:rsidR="00F8393B" w:rsidRPr="00F8393B" w:rsidRDefault="00F8393B" w:rsidP="00F8393B">
            <w:pPr>
              <w:rPr>
                <w:b/>
                <w:bCs/>
              </w:rPr>
            </w:pPr>
            <w:r w:rsidRPr="00F8393B">
              <w:rPr>
                <w:b/>
                <w:bCs/>
              </w:rPr>
              <w:t>Evaluation Points</w:t>
            </w:r>
          </w:p>
        </w:tc>
        <w:tc>
          <w:tcPr>
            <w:tcW w:w="4117" w:type="dxa"/>
            <w:tcBorders>
              <w:top w:val="single" w:sz="4" w:space="0" w:color="auto"/>
              <w:left w:val="single" w:sz="4" w:space="0" w:color="auto"/>
              <w:bottom w:val="single" w:sz="4" w:space="0" w:color="auto"/>
            </w:tcBorders>
            <w:shd w:val="clear" w:color="auto" w:fill="BFBFBF" w:themeFill="background1" w:themeFillShade="BF"/>
            <w:vAlign w:val="bottom"/>
          </w:tcPr>
          <w:p w14:paraId="77AF81F6" w14:textId="77777777" w:rsidR="00F8393B" w:rsidRPr="00F8393B" w:rsidRDefault="00F8393B" w:rsidP="00F8393B">
            <w:pPr>
              <w:rPr>
                <w:b/>
                <w:bCs/>
              </w:rPr>
            </w:pPr>
            <w:r w:rsidRPr="00F8393B">
              <w:rPr>
                <w:b/>
                <w:bCs/>
              </w:rPr>
              <w:t>Job Title</w:t>
            </w:r>
          </w:p>
        </w:tc>
      </w:tr>
      <w:tr w:rsidR="00F8393B" w:rsidRPr="00F8393B" w14:paraId="5B002400"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2D4542B8" w14:textId="77777777" w:rsidR="00F8393B" w:rsidRPr="00F8393B" w:rsidRDefault="00F8393B" w:rsidP="00F8393B">
            <w:r w:rsidRPr="00F8393B">
              <w:t>250</w:t>
            </w:r>
          </w:p>
        </w:tc>
        <w:tc>
          <w:tcPr>
            <w:tcW w:w="1347" w:type="dxa"/>
            <w:tcBorders>
              <w:top w:val="single" w:sz="4" w:space="0" w:color="auto"/>
              <w:left w:val="single" w:sz="4" w:space="0" w:color="auto"/>
              <w:bottom w:val="single" w:sz="4" w:space="0" w:color="auto"/>
              <w:right w:val="single" w:sz="4" w:space="0" w:color="auto"/>
            </w:tcBorders>
            <w:vAlign w:val="bottom"/>
          </w:tcPr>
          <w:p w14:paraId="551D51A1" w14:textId="3FEA548A" w:rsidR="00F8393B" w:rsidRPr="00F8393B" w:rsidRDefault="00F8393B" w:rsidP="00F8393B">
            <w:r w:rsidRPr="00F8393B">
              <w:t>977</w:t>
            </w:r>
          </w:p>
        </w:tc>
        <w:tc>
          <w:tcPr>
            <w:tcW w:w="4117" w:type="dxa"/>
            <w:tcBorders>
              <w:top w:val="single" w:sz="4" w:space="0" w:color="auto"/>
              <w:left w:val="single" w:sz="4" w:space="0" w:color="auto"/>
              <w:bottom w:val="single" w:sz="4" w:space="0" w:color="auto"/>
            </w:tcBorders>
            <w:vAlign w:val="bottom"/>
          </w:tcPr>
          <w:p w14:paraId="60D15D96" w14:textId="77777777" w:rsidR="00F8393B" w:rsidRPr="00F8393B" w:rsidRDefault="00F8393B" w:rsidP="00F8393B">
            <w:r w:rsidRPr="00F8393B">
              <w:t xml:space="preserve">City Administrator </w:t>
            </w:r>
          </w:p>
        </w:tc>
      </w:tr>
      <w:tr w:rsidR="00F8393B" w:rsidRPr="00F8393B" w14:paraId="124453F0"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2F71EC0B" w14:textId="77777777" w:rsidR="00F8393B" w:rsidRPr="00F8393B" w:rsidRDefault="00F8393B" w:rsidP="00F8393B">
            <w:r w:rsidRPr="00F8393B">
              <w:t>240</w:t>
            </w:r>
          </w:p>
        </w:tc>
        <w:tc>
          <w:tcPr>
            <w:tcW w:w="1347" w:type="dxa"/>
            <w:tcBorders>
              <w:top w:val="single" w:sz="4" w:space="0" w:color="auto"/>
              <w:left w:val="single" w:sz="4" w:space="0" w:color="auto"/>
              <w:bottom w:val="single" w:sz="4" w:space="0" w:color="auto"/>
              <w:right w:val="single" w:sz="4" w:space="0" w:color="auto"/>
            </w:tcBorders>
            <w:vAlign w:val="bottom"/>
          </w:tcPr>
          <w:p w14:paraId="407925E2" w14:textId="77777777" w:rsidR="00F8393B" w:rsidRPr="00F8393B" w:rsidRDefault="00F8393B" w:rsidP="00F8393B"/>
        </w:tc>
        <w:tc>
          <w:tcPr>
            <w:tcW w:w="4117" w:type="dxa"/>
            <w:tcBorders>
              <w:top w:val="single" w:sz="4" w:space="0" w:color="auto"/>
              <w:left w:val="single" w:sz="4" w:space="0" w:color="auto"/>
              <w:bottom w:val="single" w:sz="4" w:space="0" w:color="auto"/>
            </w:tcBorders>
            <w:vAlign w:val="bottom"/>
          </w:tcPr>
          <w:p w14:paraId="02AF1850" w14:textId="77777777" w:rsidR="00F8393B" w:rsidRPr="00F8393B" w:rsidRDefault="00F8393B" w:rsidP="00F8393B">
            <w:r w:rsidRPr="00F8393B">
              <w:t>Open Grade</w:t>
            </w:r>
          </w:p>
        </w:tc>
      </w:tr>
      <w:tr w:rsidR="00F8393B" w:rsidRPr="00F8393B" w14:paraId="7626CF52"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6254CB5F" w14:textId="77777777" w:rsidR="00F8393B" w:rsidRPr="00F8393B" w:rsidRDefault="00F8393B" w:rsidP="00F8393B">
            <w:r w:rsidRPr="00F8393B">
              <w:t>230</w:t>
            </w:r>
          </w:p>
        </w:tc>
        <w:tc>
          <w:tcPr>
            <w:tcW w:w="1347" w:type="dxa"/>
            <w:tcBorders>
              <w:top w:val="single" w:sz="4" w:space="0" w:color="auto"/>
              <w:left w:val="single" w:sz="4" w:space="0" w:color="auto"/>
              <w:bottom w:val="single" w:sz="4" w:space="0" w:color="auto"/>
              <w:right w:val="single" w:sz="4" w:space="0" w:color="auto"/>
            </w:tcBorders>
            <w:vAlign w:val="bottom"/>
          </w:tcPr>
          <w:p w14:paraId="6A0ADA4B" w14:textId="77777777" w:rsidR="00F8393B" w:rsidRPr="00F8393B" w:rsidRDefault="00F8393B" w:rsidP="00F8393B">
            <w:r w:rsidRPr="00F8393B">
              <w:t>848</w:t>
            </w:r>
          </w:p>
        </w:tc>
        <w:tc>
          <w:tcPr>
            <w:tcW w:w="4117" w:type="dxa"/>
            <w:tcBorders>
              <w:top w:val="single" w:sz="4" w:space="0" w:color="auto"/>
              <w:left w:val="single" w:sz="4" w:space="0" w:color="auto"/>
              <w:bottom w:val="single" w:sz="4" w:space="0" w:color="auto"/>
            </w:tcBorders>
            <w:vAlign w:val="bottom"/>
          </w:tcPr>
          <w:p w14:paraId="3D6566D5" w14:textId="77777777" w:rsidR="00F8393B" w:rsidRPr="00F8393B" w:rsidRDefault="00F8393B" w:rsidP="00F8393B">
            <w:r w:rsidRPr="00F8393B">
              <w:t>Public Works Director</w:t>
            </w:r>
          </w:p>
        </w:tc>
      </w:tr>
      <w:tr w:rsidR="00F8393B" w:rsidRPr="00F8393B" w14:paraId="7BE35C02"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49EC63BE" w14:textId="77777777" w:rsidR="00F8393B" w:rsidRPr="00F8393B" w:rsidRDefault="00F8393B" w:rsidP="00F8393B">
            <w:r w:rsidRPr="00F8393B">
              <w:t>230</w:t>
            </w:r>
          </w:p>
        </w:tc>
        <w:tc>
          <w:tcPr>
            <w:tcW w:w="1347" w:type="dxa"/>
            <w:tcBorders>
              <w:top w:val="single" w:sz="4" w:space="0" w:color="auto"/>
              <w:left w:val="single" w:sz="4" w:space="0" w:color="auto"/>
              <w:bottom w:val="single" w:sz="4" w:space="0" w:color="auto"/>
              <w:right w:val="single" w:sz="4" w:space="0" w:color="auto"/>
            </w:tcBorders>
            <w:vAlign w:val="bottom"/>
          </w:tcPr>
          <w:p w14:paraId="0CBB39AE" w14:textId="77777777" w:rsidR="00F8393B" w:rsidRPr="00F8393B" w:rsidRDefault="00F8393B" w:rsidP="00F8393B">
            <w:r w:rsidRPr="00F8393B">
              <w:t>798</w:t>
            </w:r>
          </w:p>
        </w:tc>
        <w:tc>
          <w:tcPr>
            <w:tcW w:w="4117" w:type="dxa"/>
            <w:tcBorders>
              <w:top w:val="single" w:sz="4" w:space="0" w:color="auto"/>
              <w:left w:val="single" w:sz="4" w:space="0" w:color="auto"/>
              <w:bottom w:val="single" w:sz="4" w:space="0" w:color="auto"/>
            </w:tcBorders>
            <w:vAlign w:val="bottom"/>
          </w:tcPr>
          <w:p w14:paraId="05A090E5" w14:textId="77777777" w:rsidR="00F8393B" w:rsidRPr="00F8393B" w:rsidRDefault="00F8393B" w:rsidP="00F8393B">
            <w:r w:rsidRPr="00F8393B">
              <w:t>Police Chief</w:t>
            </w:r>
          </w:p>
        </w:tc>
      </w:tr>
      <w:tr w:rsidR="00F8393B" w:rsidRPr="00F8393B" w14:paraId="386FAD77"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5C4DA91E" w14:textId="77777777" w:rsidR="00F8393B" w:rsidRPr="00F8393B" w:rsidRDefault="00F8393B" w:rsidP="00F8393B">
            <w:r w:rsidRPr="00F8393B">
              <w:t>230</w:t>
            </w:r>
          </w:p>
        </w:tc>
        <w:tc>
          <w:tcPr>
            <w:tcW w:w="1347" w:type="dxa"/>
            <w:tcBorders>
              <w:top w:val="single" w:sz="4" w:space="0" w:color="auto"/>
              <w:left w:val="single" w:sz="4" w:space="0" w:color="auto"/>
              <w:bottom w:val="single" w:sz="4" w:space="0" w:color="auto"/>
              <w:right w:val="single" w:sz="4" w:space="0" w:color="auto"/>
            </w:tcBorders>
            <w:vAlign w:val="bottom"/>
          </w:tcPr>
          <w:p w14:paraId="2A5DCF6C" w14:textId="77777777" w:rsidR="00F8393B" w:rsidRPr="00F8393B" w:rsidRDefault="00F8393B" w:rsidP="00F8393B">
            <w:r w:rsidRPr="00F8393B">
              <w:t>798</w:t>
            </w:r>
          </w:p>
        </w:tc>
        <w:tc>
          <w:tcPr>
            <w:tcW w:w="4117" w:type="dxa"/>
            <w:tcBorders>
              <w:top w:val="single" w:sz="4" w:space="0" w:color="auto"/>
              <w:left w:val="single" w:sz="4" w:space="0" w:color="auto"/>
              <w:bottom w:val="single" w:sz="4" w:space="0" w:color="auto"/>
            </w:tcBorders>
            <w:vAlign w:val="bottom"/>
          </w:tcPr>
          <w:p w14:paraId="6BEB2ECF" w14:textId="77777777" w:rsidR="00F8393B" w:rsidRPr="00F8393B" w:rsidRDefault="00F8393B" w:rsidP="00F8393B">
            <w:r w:rsidRPr="00F8393B">
              <w:t>Finance Director</w:t>
            </w:r>
          </w:p>
        </w:tc>
      </w:tr>
      <w:tr w:rsidR="00F8393B" w:rsidRPr="00F8393B" w14:paraId="22C2945C"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2F5E8838" w14:textId="77777777" w:rsidR="00F8393B" w:rsidRPr="00F8393B" w:rsidRDefault="00F8393B" w:rsidP="00F8393B">
            <w:r w:rsidRPr="00F8393B">
              <w:lastRenderedPageBreak/>
              <w:t>220</w:t>
            </w:r>
          </w:p>
        </w:tc>
        <w:tc>
          <w:tcPr>
            <w:tcW w:w="1347" w:type="dxa"/>
            <w:tcBorders>
              <w:top w:val="single" w:sz="4" w:space="0" w:color="auto"/>
              <w:left w:val="single" w:sz="4" w:space="0" w:color="auto"/>
              <w:bottom w:val="single" w:sz="4" w:space="0" w:color="auto"/>
              <w:right w:val="single" w:sz="4" w:space="0" w:color="auto"/>
            </w:tcBorders>
            <w:vAlign w:val="bottom"/>
          </w:tcPr>
          <w:p w14:paraId="589CABF3" w14:textId="77777777" w:rsidR="00F8393B" w:rsidRPr="00F8393B" w:rsidRDefault="00F8393B" w:rsidP="00F8393B"/>
        </w:tc>
        <w:tc>
          <w:tcPr>
            <w:tcW w:w="4117" w:type="dxa"/>
            <w:tcBorders>
              <w:top w:val="single" w:sz="4" w:space="0" w:color="auto"/>
              <w:left w:val="single" w:sz="4" w:space="0" w:color="auto"/>
              <w:bottom w:val="single" w:sz="4" w:space="0" w:color="auto"/>
            </w:tcBorders>
            <w:vAlign w:val="bottom"/>
          </w:tcPr>
          <w:p w14:paraId="0D7D80CB" w14:textId="77777777" w:rsidR="00F8393B" w:rsidRPr="00F8393B" w:rsidRDefault="00F8393B" w:rsidP="00F8393B">
            <w:r w:rsidRPr="00F8393B">
              <w:t>Open Grade</w:t>
            </w:r>
          </w:p>
        </w:tc>
      </w:tr>
      <w:tr w:rsidR="00F8393B" w:rsidRPr="00F8393B" w14:paraId="69CE3EBA" w14:textId="77777777" w:rsidTr="00AE4EE8">
        <w:trPr>
          <w:trHeight w:hRule="exact" w:val="421"/>
          <w:jc w:val="center"/>
        </w:trPr>
        <w:tc>
          <w:tcPr>
            <w:tcW w:w="1281" w:type="dxa"/>
            <w:tcBorders>
              <w:top w:val="single" w:sz="4" w:space="0" w:color="auto"/>
              <w:bottom w:val="nil"/>
              <w:right w:val="single" w:sz="4" w:space="0" w:color="auto"/>
            </w:tcBorders>
            <w:vAlign w:val="bottom"/>
          </w:tcPr>
          <w:p w14:paraId="1DC25222" w14:textId="77777777" w:rsidR="00F8393B" w:rsidRPr="00F8393B" w:rsidRDefault="00F8393B" w:rsidP="00F8393B">
            <w:r w:rsidRPr="00F8393B">
              <w:t>210</w:t>
            </w:r>
          </w:p>
        </w:tc>
        <w:tc>
          <w:tcPr>
            <w:tcW w:w="1347" w:type="dxa"/>
            <w:tcBorders>
              <w:top w:val="single" w:sz="4" w:space="0" w:color="auto"/>
              <w:left w:val="single" w:sz="4" w:space="0" w:color="auto"/>
              <w:bottom w:val="nil"/>
              <w:right w:val="single" w:sz="4" w:space="0" w:color="auto"/>
            </w:tcBorders>
            <w:vAlign w:val="bottom"/>
          </w:tcPr>
          <w:p w14:paraId="42D5AB7B" w14:textId="77777777" w:rsidR="00F8393B" w:rsidRPr="00F8393B" w:rsidRDefault="00F8393B" w:rsidP="00F8393B"/>
        </w:tc>
        <w:tc>
          <w:tcPr>
            <w:tcW w:w="4117" w:type="dxa"/>
            <w:tcBorders>
              <w:top w:val="single" w:sz="4" w:space="0" w:color="auto"/>
              <w:left w:val="single" w:sz="4" w:space="0" w:color="auto"/>
              <w:bottom w:val="nil"/>
            </w:tcBorders>
            <w:vAlign w:val="bottom"/>
          </w:tcPr>
          <w:p w14:paraId="1A207251" w14:textId="77777777" w:rsidR="00F8393B" w:rsidRPr="00F8393B" w:rsidRDefault="00F8393B" w:rsidP="00F8393B">
            <w:r w:rsidRPr="00F8393B">
              <w:t>Open Grade</w:t>
            </w:r>
          </w:p>
        </w:tc>
      </w:tr>
      <w:tr w:rsidR="00F8393B" w:rsidRPr="00F8393B" w14:paraId="75FBD695" w14:textId="77777777" w:rsidTr="00AE4EE8">
        <w:trPr>
          <w:trHeight w:hRule="exact" w:val="421"/>
          <w:jc w:val="center"/>
        </w:trPr>
        <w:tc>
          <w:tcPr>
            <w:tcW w:w="1281" w:type="dxa"/>
            <w:tcBorders>
              <w:top w:val="single" w:sz="4" w:space="0" w:color="auto"/>
              <w:bottom w:val="nil"/>
              <w:right w:val="single" w:sz="4" w:space="0" w:color="auto"/>
            </w:tcBorders>
            <w:vAlign w:val="bottom"/>
          </w:tcPr>
          <w:p w14:paraId="28495358" w14:textId="77777777" w:rsidR="00F8393B" w:rsidRPr="00F8393B" w:rsidRDefault="00F8393B" w:rsidP="00F8393B">
            <w:r w:rsidRPr="00F8393B">
              <w:t>200</w:t>
            </w:r>
          </w:p>
        </w:tc>
        <w:tc>
          <w:tcPr>
            <w:tcW w:w="1347" w:type="dxa"/>
            <w:tcBorders>
              <w:top w:val="single" w:sz="4" w:space="0" w:color="auto"/>
              <w:left w:val="single" w:sz="4" w:space="0" w:color="auto"/>
              <w:bottom w:val="nil"/>
              <w:right w:val="single" w:sz="4" w:space="0" w:color="auto"/>
            </w:tcBorders>
            <w:vAlign w:val="bottom"/>
          </w:tcPr>
          <w:p w14:paraId="200F0E6B" w14:textId="77777777" w:rsidR="00F8393B" w:rsidRPr="00F8393B" w:rsidRDefault="00F8393B" w:rsidP="00F8393B"/>
        </w:tc>
        <w:tc>
          <w:tcPr>
            <w:tcW w:w="4117" w:type="dxa"/>
            <w:tcBorders>
              <w:top w:val="single" w:sz="4" w:space="0" w:color="auto"/>
              <w:left w:val="single" w:sz="4" w:space="0" w:color="auto"/>
              <w:bottom w:val="nil"/>
            </w:tcBorders>
            <w:vAlign w:val="bottom"/>
          </w:tcPr>
          <w:p w14:paraId="7CA8E23A" w14:textId="77777777" w:rsidR="00F8393B" w:rsidRPr="00F8393B" w:rsidRDefault="00F8393B" w:rsidP="00F8393B">
            <w:r w:rsidRPr="00F8393B">
              <w:t>Open Grade</w:t>
            </w:r>
          </w:p>
        </w:tc>
      </w:tr>
      <w:tr w:rsidR="00F8393B" w:rsidRPr="00F8393B" w14:paraId="3B2C8003" w14:textId="77777777" w:rsidTr="00AE4EE8">
        <w:trPr>
          <w:trHeight w:hRule="exact" w:val="421"/>
          <w:jc w:val="center"/>
        </w:trPr>
        <w:tc>
          <w:tcPr>
            <w:tcW w:w="1281" w:type="dxa"/>
            <w:tcBorders>
              <w:top w:val="single" w:sz="4" w:space="0" w:color="auto"/>
              <w:bottom w:val="nil"/>
              <w:right w:val="single" w:sz="4" w:space="0" w:color="auto"/>
            </w:tcBorders>
            <w:vAlign w:val="bottom"/>
          </w:tcPr>
          <w:p w14:paraId="59641AB9" w14:textId="77777777" w:rsidR="00F8393B" w:rsidRPr="00F8393B" w:rsidRDefault="00F8393B" w:rsidP="00F8393B">
            <w:r w:rsidRPr="00F8393B">
              <w:t>190</w:t>
            </w:r>
          </w:p>
        </w:tc>
        <w:tc>
          <w:tcPr>
            <w:tcW w:w="1347" w:type="dxa"/>
            <w:tcBorders>
              <w:top w:val="single" w:sz="4" w:space="0" w:color="auto"/>
              <w:left w:val="single" w:sz="4" w:space="0" w:color="auto"/>
              <w:bottom w:val="nil"/>
              <w:right w:val="single" w:sz="4" w:space="0" w:color="auto"/>
            </w:tcBorders>
            <w:vAlign w:val="bottom"/>
          </w:tcPr>
          <w:p w14:paraId="70620A23" w14:textId="77777777" w:rsidR="00F8393B" w:rsidRPr="00F8393B" w:rsidRDefault="00F8393B" w:rsidP="00F8393B"/>
        </w:tc>
        <w:tc>
          <w:tcPr>
            <w:tcW w:w="4117" w:type="dxa"/>
            <w:tcBorders>
              <w:top w:val="single" w:sz="4" w:space="0" w:color="auto"/>
              <w:left w:val="single" w:sz="4" w:space="0" w:color="auto"/>
              <w:bottom w:val="nil"/>
            </w:tcBorders>
            <w:vAlign w:val="bottom"/>
          </w:tcPr>
          <w:p w14:paraId="7C2BE63C" w14:textId="77777777" w:rsidR="00F8393B" w:rsidRPr="00F8393B" w:rsidRDefault="00F8393B" w:rsidP="00F8393B">
            <w:r w:rsidRPr="00F8393B">
              <w:t>Open Grade</w:t>
            </w:r>
          </w:p>
        </w:tc>
      </w:tr>
      <w:tr w:rsidR="00F8393B" w:rsidRPr="00F8393B" w14:paraId="3ACC4FDD"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3537C271" w14:textId="77777777" w:rsidR="00F8393B" w:rsidRPr="00F8393B" w:rsidRDefault="00F8393B" w:rsidP="00F8393B">
            <w:r w:rsidRPr="00F8393B">
              <w:t>180</w:t>
            </w:r>
          </w:p>
        </w:tc>
        <w:tc>
          <w:tcPr>
            <w:tcW w:w="1347" w:type="dxa"/>
            <w:tcBorders>
              <w:top w:val="single" w:sz="4" w:space="0" w:color="auto"/>
              <w:left w:val="single" w:sz="4" w:space="0" w:color="auto"/>
              <w:bottom w:val="single" w:sz="4" w:space="0" w:color="auto"/>
              <w:right w:val="single" w:sz="4" w:space="0" w:color="auto"/>
            </w:tcBorders>
            <w:vAlign w:val="bottom"/>
          </w:tcPr>
          <w:p w14:paraId="372B2A3D" w14:textId="77777777" w:rsidR="00F8393B" w:rsidRPr="00F8393B" w:rsidRDefault="00F8393B" w:rsidP="00F8393B">
            <w:r w:rsidRPr="00F8393B">
              <w:t>493</w:t>
            </w:r>
          </w:p>
        </w:tc>
        <w:tc>
          <w:tcPr>
            <w:tcW w:w="4117" w:type="dxa"/>
            <w:tcBorders>
              <w:top w:val="single" w:sz="4" w:space="0" w:color="auto"/>
              <w:left w:val="single" w:sz="4" w:space="0" w:color="auto"/>
              <w:bottom w:val="single" w:sz="4" w:space="0" w:color="auto"/>
            </w:tcBorders>
            <w:vAlign w:val="bottom"/>
          </w:tcPr>
          <w:p w14:paraId="0E00410D" w14:textId="77777777" w:rsidR="00F8393B" w:rsidRPr="00F8393B" w:rsidRDefault="00F8393B" w:rsidP="00F8393B">
            <w:r w:rsidRPr="00F8393B">
              <w:t>Building Official</w:t>
            </w:r>
          </w:p>
        </w:tc>
      </w:tr>
      <w:tr w:rsidR="00F8393B" w:rsidRPr="00F8393B" w14:paraId="782EDDB1" w14:textId="77777777" w:rsidTr="007C632C">
        <w:trPr>
          <w:trHeight w:hRule="exact" w:val="421"/>
          <w:jc w:val="center"/>
        </w:trPr>
        <w:tc>
          <w:tcPr>
            <w:tcW w:w="1281" w:type="dxa"/>
            <w:tcBorders>
              <w:top w:val="single" w:sz="4" w:space="0" w:color="auto"/>
              <w:bottom w:val="single" w:sz="4" w:space="0" w:color="auto"/>
              <w:right w:val="single" w:sz="4" w:space="0" w:color="auto"/>
            </w:tcBorders>
            <w:vAlign w:val="bottom"/>
          </w:tcPr>
          <w:p w14:paraId="4B209758" w14:textId="77777777" w:rsidR="00F8393B" w:rsidRPr="00F8393B" w:rsidRDefault="00F8393B" w:rsidP="00F8393B">
            <w:r w:rsidRPr="00F8393B">
              <w:t>170</w:t>
            </w:r>
          </w:p>
        </w:tc>
        <w:tc>
          <w:tcPr>
            <w:tcW w:w="1347" w:type="dxa"/>
            <w:tcBorders>
              <w:top w:val="single" w:sz="4" w:space="0" w:color="auto"/>
              <w:left w:val="single" w:sz="4" w:space="0" w:color="auto"/>
              <w:bottom w:val="single" w:sz="4" w:space="0" w:color="auto"/>
              <w:right w:val="single" w:sz="4" w:space="0" w:color="auto"/>
            </w:tcBorders>
            <w:vAlign w:val="bottom"/>
          </w:tcPr>
          <w:p w14:paraId="3C5ADE70" w14:textId="77777777" w:rsidR="00F8393B" w:rsidRPr="00F8393B" w:rsidRDefault="00F8393B" w:rsidP="00F8393B">
            <w:r w:rsidRPr="00F8393B">
              <w:t>455</w:t>
            </w:r>
          </w:p>
        </w:tc>
        <w:tc>
          <w:tcPr>
            <w:tcW w:w="4117" w:type="dxa"/>
            <w:tcBorders>
              <w:top w:val="single" w:sz="4" w:space="0" w:color="auto"/>
              <w:left w:val="single" w:sz="4" w:space="0" w:color="auto"/>
              <w:bottom w:val="single" w:sz="4" w:space="0" w:color="auto"/>
            </w:tcBorders>
            <w:vAlign w:val="bottom"/>
          </w:tcPr>
          <w:p w14:paraId="051455DE" w14:textId="77777777" w:rsidR="00F8393B" w:rsidRPr="00F8393B" w:rsidRDefault="00F8393B" w:rsidP="00F8393B">
            <w:r w:rsidRPr="00F8393B">
              <w:t>City Clerk</w:t>
            </w:r>
          </w:p>
        </w:tc>
      </w:tr>
      <w:tr w:rsidR="00F8393B" w:rsidRPr="00F8393B" w14:paraId="4E892D39" w14:textId="77777777" w:rsidTr="007C632C">
        <w:trPr>
          <w:trHeight w:hRule="exact" w:val="421"/>
          <w:jc w:val="center"/>
        </w:trPr>
        <w:tc>
          <w:tcPr>
            <w:tcW w:w="1281" w:type="dxa"/>
            <w:tcBorders>
              <w:top w:val="single" w:sz="4" w:space="0" w:color="auto"/>
              <w:bottom w:val="single" w:sz="4" w:space="0" w:color="auto"/>
              <w:right w:val="single" w:sz="4" w:space="0" w:color="auto"/>
            </w:tcBorders>
            <w:vAlign w:val="bottom"/>
          </w:tcPr>
          <w:p w14:paraId="38FBCA69" w14:textId="77777777" w:rsidR="00F8393B" w:rsidRPr="00F8393B" w:rsidRDefault="00F8393B" w:rsidP="00F8393B">
            <w:r w:rsidRPr="00F8393B">
              <w:t>160</w:t>
            </w:r>
          </w:p>
        </w:tc>
        <w:tc>
          <w:tcPr>
            <w:tcW w:w="1347" w:type="dxa"/>
            <w:tcBorders>
              <w:top w:val="single" w:sz="4" w:space="0" w:color="auto"/>
              <w:left w:val="single" w:sz="4" w:space="0" w:color="auto"/>
              <w:bottom w:val="single" w:sz="4" w:space="0" w:color="auto"/>
              <w:right w:val="single" w:sz="4" w:space="0" w:color="auto"/>
            </w:tcBorders>
            <w:vAlign w:val="bottom"/>
          </w:tcPr>
          <w:p w14:paraId="2E90E268" w14:textId="77777777" w:rsidR="00F8393B" w:rsidRPr="00F8393B" w:rsidRDefault="00F8393B" w:rsidP="00F8393B">
            <w:r w:rsidRPr="00F8393B">
              <w:t>436</w:t>
            </w:r>
          </w:p>
        </w:tc>
        <w:tc>
          <w:tcPr>
            <w:tcW w:w="4117" w:type="dxa"/>
            <w:tcBorders>
              <w:top w:val="single" w:sz="4" w:space="0" w:color="auto"/>
              <w:left w:val="single" w:sz="4" w:space="0" w:color="auto"/>
              <w:bottom w:val="single" w:sz="4" w:space="0" w:color="auto"/>
            </w:tcBorders>
            <w:vAlign w:val="bottom"/>
          </w:tcPr>
          <w:p w14:paraId="074A7578" w14:textId="77777777" w:rsidR="00F8393B" w:rsidRPr="00F8393B" w:rsidRDefault="00F8393B" w:rsidP="00F8393B">
            <w:r w:rsidRPr="00F8393B">
              <w:t>Public Works Maintenance Supervisor</w:t>
            </w:r>
          </w:p>
        </w:tc>
      </w:tr>
      <w:tr w:rsidR="00F8393B" w:rsidRPr="00F8393B" w14:paraId="300EB33E" w14:textId="77777777" w:rsidTr="007C632C">
        <w:trPr>
          <w:trHeight w:hRule="exact" w:val="421"/>
          <w:jc w:val="center"/>
        </w:trPr>
        <w:tc>
          <w:tcPr>
            <w:tcW w:w="1281" w:type="dxa"/>
            <w:tcBorders>
              <w:top w:val="single" w:sz="4" w:space="0" w:color="auto"/>
              <w:bottom w:val="single" w:sz="4" w:space="0" w:color="auto"/>
              <w:right w:val="single" w:sz="4" w:space="0" w:color="auto"/>
            </w:tcBorders>
            <w:vAlign w:val="bottom"/>
          </w:tcPr>
          <w:p w14:paraId="7F98B91F" w14:textId="77777777" w:rsidR="00F8393B" w:rsidRPr="00F8393B" w:rsidRDefault="00F8393B" w:rsidP="00F8393B">
            <w:r w:rsidRPr="00F8393B">
              <w:t>160</w:t>
            </w:r>
          </w:p>
        </w:tc>
        <w:tc>
          <w:tcPr>
            <w:tcW w:w="1347" w:type="dxa"/>
            <w:tcBorders>
              <w:top w:val="single" w:sz="4" w:space="0" w:color="auto"/>
              <w:left w:val="single" w:sz="4" w:space="0" w:color="auto"/>
              <w:bottom w:val="single" w:sz="4" w:space="0" w:color="auto"/>
              <w:right w:val="single" w:sz="4" w:space="0" w:color="auto"/>
            </w:tcBorders>
            <w:vAlign w:val="bottom"/>
          </w:tcPr>
          <w:p w14:paraId="2102DD2A" w14:textId="77777777" w:rsidR="00F8393B" w:rsidRPr="00F8393B" w:rsidRDefault="00F8393B" w:rsidP="00F8393B">
            <w:r w:rsidRPr="00F8393B">
              <w:t>401</w:t>
            </w:r>
          </w:p>
        </w:tc>
        <w:tc>
          <w:tcPr>
            <w:tcW w:w="4117" w:type="dxa"/>
            <w:tcBorders>
              <w:top w:val="single" w:sz="4" w:space="0" w:color="auto"/>
              <w:left w:val="single" w:sz="4" w:space="0" w:color="auto"/>
              <w:bottom w:val="single" w:sz="4" w:space="0" w:color="auto"/>
            </w:tcBorders>
            <w:vAlign w:val="bottom"/>
          </w:tcPr>
          <w:p w14:paraId="05EB5453" w14:textId="77777777" w:rsidR="00F8393B" w:rsidRPr="00F8393B" w:rsidRDefault="00F8393B" w:rsidP="00F8393B">
            <w:r w:rsidRPr="00F8393B">
              <w:t>Police Officer</w:t>
            </w:r>
          </w:p>
        </w:tc>
      </w:tr>
      <w:tr w:rsidR="00F8393B" w:rsidRPr="00F8393B" w14:paraId="21BF5656"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3EFF291D" w14:textId="77777777" w:rsidR="00F8393B" w:rsidRPr="00F8393B" w:rsidRDefault="00F8393B" w:rsidP="00F8393B">
            <w:r w:rsidRPr="00F8393B">
              <w:t>150</w:t>
            </w:r>
          </w:p>
        </w:tc>
        <w:tc>
          <w:tcPr>
            <w:tcW w:w="1347" w:type="dxa"/>
            <w:tcBorders>
              <w:top w:val="single" w:sz="4" w:space="0" w:color="auto"/>
              <w:left w:val="single" w:sz="4" w:space="0" w:color="auto"/>
              <w:bottom w:val="single" w:sz="4" w:space="0" w:color="auto"/>
              <w:right w:val="single" w:sz="4" w:space="0" w:color="auto"/>
            </w:tcBorders>
            <w:vAlign w:val="bottom"/>
          </w:tcPr>
          <w:p w14:paraId="5DD92456" w14:textId="77777777" w:rsidR="00F8393B" w:rsidRPr="00F8393B" w:rsidRDefault="00F8393B" w:rsidP="00F8393B"/>
        </w:tc>
        <w:tc>
          <w:tcPr>
            <w:tcW w:w="4117" w:type="dxa"/>
            <w:tcBorders>
              <w:top w:val="single" w:sz="4" w:space="0" w:color="auto"/>
              <w:left w:val="single" w:sz="4" w:space="0" w:color="auto"/>
              <w:bottom w:val="single" w:sz="4" w:space="0" w:color="auto"/>
            </w:tcBorders>
            <w:vAlign w:val="bottom"/>
          </w:tcPr>
          <w:p w14:paraId="6E53D92C" w14:textId="77777777" w:rsidR="00F8393B" w:rsidRPr="00F8393B" w:rsidRDefault="00F8393B" w:rsidP="00F8393B">
            <w:r w:rsidRPr="00F8393B">
              <w:t>Open Grade</w:t>
            </w:r>
          </w:p>
        </w:tc>
      </w:tr>
      <w:tr w:rsidR="00F8393B" w:rsidRPr="00F8393B" w14:paraId="1182CBC0"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445FE3B4" w14:textId="77777777" w:rsidR="00F8393B" w:rsidRPr="00F8393B" w:rsidRDefault="00F8393B" w:rsidP="00F8393B">
            <w:r w:rsidRPr="00F8393B">
              <w:t>140</w:t>
            </w:r>
          </w:p>
        </w:tc>
        <w:tc>
          <w:tcPr>
            <w:tcW w:w="1347" w:type="dxa"/>
            <w:tcBorders>
              <w:top w:val="single" w:sz="4" w:space="0" w:color="auto"/>
              <w:left w:val="single" w:sz="4" w:space="0" w:color="auto"/>
              <w:bottom w:val="single" w:sz="4" w:space="0" w:color="auto"/>
              <w:right w:val="single" w:sz="4" w:space="0" w:color="auto"/>
            </w:tcBorders>
            <w:vAlign w:val="bottom"/>
          </w:tcPr>
          <w:p w14:paraId="2DAF4EA7" w14:textId="77777777" w:rsidR="00F8393B" w:rsidRPr="00F8393B" w:rsidRDefault="00F8393B" w:rsidP="00F8393B">
            <w:r w:rsidRPr="00F8393B">
              <w:t>330</w:t>
            </w:r>
          </w:p>
        </w:tc>
        <w:tc>
          <w:tcPr>
            <w:tcW w:w="4117" w:type="dxa"/>
            <w:tcBorders>
              <w:top w:val="single" w:sz="4" w:space="0" w:color="auto"/>
              <w:left w:val="single" w:sz="4" w:space="0" w:color="auto"/>
              <w:bottom w:val="single" w:sz="4" w:space="0" w:color="auto"/>
            </w:tcBorders>
            <w:vAlign w:val="bottom"/>
          </w:tcPr>
          <w:p w14:paraId="3969237A" w14:textId="77777777" w:rsidR="00F8393B" w:rsidRPr="00F8393B" w:rsidRDefault="00F8393B" w:rsidP="00F8393B">
            <w:r w:rsidRPr="00F8393B">
              <w:t>Streets Maintenance Worker</w:t>
            </w:r>
          </w:p>
        </w:tc>
      </w:tr>
      <w:tr w:rsidR="00F8393B" w:rsidRPr="00F8393B" w14:paraId="00B08120"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61CF42B7" w14:textId="77777777" w:rsidR="00F8393B" w:rsidRPr="00F8393B" w:rsidRDefault="00F8393B" w:rsidP="00F8393B">
            <w:r w:rsidRPr="00F8393B">
              <w:t>130</w:t>
            </w:r>
          </w:p>
        </w:tc>
        <w:tc>
          <w:tcPr>
            <w:tcW w:w="1347" w:type="dxa"/>
            <w:tcBorders>
              <w:top w:val="single" w:sz="4" w:space="0" w:color="auto"/>
              <w:left w:val="single" w:sz="4" w:space="0" w:color="auto"/>
              <w:bottom w:val="single" w:sz="4" w:space="0" w:color="auto"/>
              <w:right w:val="single" w:sz="4" w:space="0" w:color="auto"/>
            </w:tcBorders>
            <w:vAlign w:val="bottom"/>
          </w:tcPr>
          <w:p w14:paraId="673F48A2" w14:textId="77777777" w:rsidR="00F8393B" w:rsidRPr="00F8393B" w:rsidRDefault="00F8393B" w:rsidP="00F8393B"/>
        </w:tc>
        <w:tc>
          <w:tcPr>
            <w:tcW w:w="4117" w:type="dxa"/>
            <w:tcBorders>
              <w:top w:val="single" w:sz="4" w:space="0" w:color="auto"/>
              <w:left w:val="single" w:sz="4" w:space="0" w:color="auto"/>
              <w:bottom w:val="single" w:sz="4" w:space="0" w:color="auto"/>
            </w:tcBorders>
            <w:vAlign w:val="bottom"/>
          </w:tcPr>
          <w:p w14:paraId="01D26D1C" w14:textId="77777777" w:rsidR="00F8393B" w:rsidRPr="00F8393B" w:rsidRDefault="00F8393B" w:rsidP="00F8393B">
            <w:r w:rsidRPr="00F8393B">
              <w:t>Open Grade</w:t>
            </w:r>
          </w:p>
        </w:tc>
      </w:tr>
      <w:tr w:rsidR="00F8393B" w:rsidRPr="00F8393B" w14:paraId="7BAFC913"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0E5653B7" w14:textId="77777777" w:rsidR="00F8393B" w:rsidRPr="00F8393B" w:rsidRDefault="00F8393B" w:rsidP="00F8393B">
            <w:r w:rsidRPr="00F8393B">
              <w:t>120</w:t>
            </w:r>
          </w:p>
        </w:tc>
        <w:tc>
          <w:tcPr>
            <w:tcW w:w="1347" w:type="dxa"/>
            <w:tcBorders>
              <w:top w:val="single" w:sz="4" w:space="0" w:color="auto"/>
              <w:left w:val="single" w:sz="4" w:space="0" w:color="auto"/>
              <w:bottom w:val="single" w:sz="4" w:space="0" w:color="auto"/>
              <w:right w:val="single" w:sz="4" w:space="0" w:color="auto"/>
            </w:tcBorders>
            <w:vAlign w:val="bottom"/>
          </w:tcPr>
          <w:p w14:paraId="20D6489A" w14:textId="77777777" w:rsidR="00F8393B" w:rsidRPr="00F8393B" w:rsidRDefault="00F8393B" w:rsidP="00F8393B">
            <w:r w:rsidRPr="00F8393B">
              <w:t>295</w:t>
            </w:r>
          </w:p>
        </w:tc>
        <w:tc>
          <w:tcPr>
            <w:tcW w:w="4117" w:type="dxa"/>
            <w:tcBorders>
              <w:top w:val="single" w:sz="4" w:space="0" w:color="auto"/>
              <w:left w:val="single" w:sz="4" w:space="0" w:color="auto"/>
              <w:bottom w:val="single" w:sz="4" w:space="0" w:color="auto"/>
            </w:tcBorders>
            <w:vAlign w:val="bottom"/>
          </w:tcPr>
          <w:p w14:paraId="57ABFA57" w14:textId="77777777" w:rsidR="00F8393B" w:rsidRPr="00F8393B" w:rsidRDefault="00F8393B" w:rsidP="00F8393B">
            <w:r w:rsidRPr="00F8393B">
              <w:t>Utility Billing Clerk</w:t>
            </w:r>
          </w:p>
        </w:tc>
      </w:tr>
      <w:tr w:rsidR="00F8393B" w:rsidRPr="00F8393B" w14:paraId="2CA4B972"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21C1C634" w14:textId="77777777" w:rsidR="00F8393B" w:rsidRPr="00F8393B" w:rsidRDefault="00F8393B" w:rsidP="00F8393B">
            <w:r w:rsidRPr="00F8393B">
              <w:t>110</w:t>
            </w:r>
          </w:p>
        </w:tc>
        <w:tc>
          <w:tcPr>
            <w:tcW w:w="1347" w:type="dxa"/>
            <w:tcBorders>
              <w:top w:val="single" w:sz="4" w:space="0" w:color="auto"/>
              <w:left w:val="single" w:sz="4" w:space="0" w:color="auto"/>
              <w:bottom w:val="single" w:sz="4" w:space="0" w:color="auto"/>
              <w:right w:val="single" w:sz="4" w:space="0" w:color="auto"/>
            </w:tcBorders>
            <w:vAlign w:val="bottom"/>
          </w:tcPr>
          <w:p w14:paraId="21DD8CBD" w14:textId="77777777" w:rsidR="00F8393B" w:rsidRPr="00F8393B" w:rsidRDefault="00F8393B" w:rsidP="00F8393B">
            <w:r w:rsidRPr="00F8393B">
              <w:t>247</w:t>
            </w:r>
          </w:p>
        </w:tc>
        <w:tc>
          <w:tcPr>
            <w:tcW w:w="4117" w:type="dxa"/>
            <w:tcBorders>
              <w:top w:val="single" w:sz="4" w:space="0" w:color="auto"/>
              <w:left w:val="single" w:sz="4" w:space="0" w:color="auto"/>
              <w:bottom w:val="single" w:sz="4" w:space="0" w:color="auto"/>
            </w:tcBorders>
            <w:vAlign w:val="bottom"/>
          </w:tcPr>
          <w:p w14:paraId="4B6CEBF3" w14:textId="77777777" w:rsidR="00F8393B" w:rsidRPr="00F8393B" w:rsidRDefault="00F8393B" w:rsidP="00F8393B">
            <w:r w:rsidRPr="00F8393B">
              <w:t>Office Support Technician</w:t>
            </w:r>
          </w:p>
        </w:tc>
      </w:tr>
      <w:tr w:rsidR="00F8393B" w:rsidRPr="00F8393B" w14:paraId="4A594027" w14:textId="77777777" w:rsidTr="00AE4EE8">
        <w:trPr>
          <w:trHeight w:hRule="exact" w:val="421"/>
          <w:jc w:val="center"/>
        </w:trPr>
        <w:tc>
          <w:tcPr>
            <w:tcW w:w="1281" w:type="dxa"/>
            <w:tcBorders>
              <w:top w:val="single" w:sz="4" w:space="0" w:color="auto"/>
              <w:bottom w:val="single" w:sz="4" w:space="0" w:color="auto"/>
              <w:right w:val="single" w:sz="4" w:space="0" w:color="auto"/>
            </w:tcBorders>
            <w:vAlign w:val="bottom"/>
          </w:tcPr>
          <w:p w14:paraId="466B2108" w14:textId="77777777" w:rsidR="00F8393B" w:rsidRPr="00F8393B" w:rsidRDefault="00F8393B" w:rsidP="00F8393B">
            <w:r w:rsidRPr="00F8393B">
              <w:t>100</w:t>
            </w:r>
          </w:p>
        </w:tc>
        <w:tc>
          <w:tcPr>
            <w:tcW w:w="1347" w:type="dxa"/>
            <w:tcBorders>
              <w:top w:val="single" w:sz="4" w:space="0" w:color="auto"/>
              <w:left w:val="single" w:sz="4" w:space="0" w:color="auto"/>
              <w:bottom w:val="single" w:sz="4" w:space="0" w:color="auto"/>
              <w:right w:val="single" w:sz="4" w:space="0" w:color="auto"/>
            </w:tcBorders>
            <w:vAlign w:val="bottom"/>
          </w:tcPr>
          <w:p w14:paraId="16DF08D9" w14:textId="77777777" w:rsidR="00F8393B" w:rsidRPr="00F8393B" w:rsidRDefault="00F8393B" w:rsidP="00F8393B"/>
        </w:tc>
        <w:tc>
          <w:tcPr>
            <w:tcW w:w="4117" w:type="dxa"/>
            <w:tcBorders>
              <w:top w:val="single" w:sz="4" w:space="0" w:color="auto"/>
              <w:left w:val="single" w:sz="4" w:space="0" w:color="auto"/>
              <w:bottom w:val="single" w:sz="4" w:space="0" w:color="auto"/>
            </w:tcBorders>
            <w:vAlign w:val="bottom"/>
          </w:tcPr>
          <w:p w14:paraId="0563379D" w14:textId="77777777" w:rsidR="00F8393B" w:rsidRPr="00F8393B" w:rsidRDefault="00F8393B" w:rsidP="00F8393B">
            <w:r w:rsidRPr="00F8393B">
              <w:t>Open Grade</w:t>
            </w:r>
          </w:p>
        </w:tc>
      </w:tr>
    </w:tbl>
    <w:p w14:paraId="3B6FC17C" w14:textId="5C45E1CD" w:rsidR="00F8393B" w:rsidRDefault="00F8393B" w:rsidP="00AB4045"/>
    <w:p w14:paraId="7FF4602B" w14:textId="77777777" w:rsidR="00F8393B" w:rsidRDefault="00F8393B">
      <w:r>
        <w:br w:type="page"/>
      </w:r>
    </w:p>
    <w:p w14:paraId="49625439" w14:textId="77777777" w:rsidR="00F8393B" w:rsidRDefault="00F8393B" w:rsidP="00AB4045"/>
    <w:p w14:paraId="3AAF2A32" w14:textId="07C4376B" w:rsidR="00F8393B" w:rsidRPr="00AC3A12" w:rsidRDefault="00F8393B" w:rsidP="00AC3A12">
      <w:pPr>
        <w:pStyle w:val="ListParagraph"/>
        <w:numPr>
          <w:ilvl w:val="0"/>
          <w:numId w:val="4"/>
        </w:numPr>
        <w:rPr>
          <w:b/>
        </w:rPr>
      </w:pPr>
      <w:r w:rsidRPr="00AC3A12">
        <w:rPr>
          <w:b/>
        </w:rPr>
        <w:t xml:space="preserve">A list of comparable peer group cities supporting the contents of the compensation strategy.  </w:t>
      </w:r>
    </w:p>
    <w:p w14:paraId="40D9A09F" w14:textId="77777777" w:rsidR="00F8393B" w:rsidRDefault="00F8393B" w:rsidP="00F8393B"/>
    <w:p w14:paraId="005C2240" w14:textId="77777777" w:rsidR="00F8393B" w:rsidRDefault="00F8393B" w:rsidP="00F8393B">
      <w:r>
        <w:t>These comparable cities are generally researched and recommended by the city administration and approved by the City Council. The list of comparable cities should be used on a consistent basis when comparing compensation practices of your city with those of other cities. Generally, the criteria to choose comparable cities should be based on:</w:t>
      </w:r>
    </w:p>
    <w:p w14:paraId="3CBC32B6" w14:textId="462B1819" w:rsidR="00F8393B" w:rsidRDefault="00F8393B" w:rsidP="00F8393B">
      <w:pPr>
        <w:ind w:left="720"/>
      </w:pPr>
      <w:r>
        <w:t xml:space="preserve">a) proximity of location and </w:t>
      </w:r>
    </w:p>
    <w:p w14:paraId="2925D93D" w14:textId="77777777" w:rsidR="00F8393B" w:rsidRDefault="00F8393B" w:rsidP="00F8393B">
      <w:pPr>
        <w:ind w:left="720"/>
      </w:pPr>
      <w:r>
        <w:t xml:space="preserve">b) similarity in the type of services being provided, and </w:t>
      </w:r>
    </w:p>
    <w:p w14:paraId="4AAF3B38" w14:textId="77777777" w:rsidR="00F8393B" w:rsidRDefault="00F8393B" w:rsidP="00F8393B">
      <w:pPr>
        <w:ind w:left="720"/>
      </w:pPr>
      <w:r>
        <w:t xml:space="preserve">c) population size. </w:t>
      </w:r>
    </w:p>
    <w:p w14:paraId="1B9C9C38" w14:textId="7AD4A447" w:rsidR="00F8393B" w:rsidRDefault="00F8393B" w:rsidP="00F8393B">
      <w:r>
        <w:t>Ideally, a city should select eight to 12 comparable cities when constructing its peer group. As mentioned earlier, selecting peer group cities is closely tied to developing the city’s compensation strategy and is determined based on the market where the city attracts new employees.</w:t>
      </w:r>
    </w:p>
    <w:p w14:paraId="20BFA6E6" w14:textId="77777777" w:rsidR="00F8393B" w:rsidRDefault="00F8393B" w:rsidP="00F8393B"/>
    <w:p w14:paraId="5092308E" w14:textId="4D03F7CA" w:rsidR="00F8393B" w:rsidRPr="00AC3A12" w:rsidRDefault="00F8393B" w:rsidP="00AC3A12">
      <w:pPr>
        <w:pStyle w:val="ListParagraph"/>
        <w:numPr>
          <w:ilvl w:val="0"/>
          <w:numId w:val="4"/>
        </w:numPr>
        <w:rPr>
          <w:b/>
        </w:rPr>
      </w:pPr>
      <w:r w:rsidRPr="00AC3A12">
        <w:rPr>
          <w:b/>
        </w:rPr>
        <w:t xml:space="preserve">Market survey data from peer group cities. </w:t>
      </w:r>
    </w:p>
    <w:p w14:paraId="2AB5F4CC" w14:textId="77777777" w:rsidR="00F8393B" w:rsidRDefault="00F8393B" w:rsidP="00F8393B"/>
    <w:p w14:paraId="012CDBA5" w14:textId="0EB6787D" w:rsidR="00F8393B" w:rsidRDefault="00F8393B" w:rsidP="00F8393B">
      <w:r>
        <w:t>This includes information on actual pay and pay ranges as well as the type of pay program each city uses to administer its compensation program.</w:t>
      </w:r>
      <w:r w:rsidR="00BC3822">
        <w:t xml:space="preserve"> One resource to consider is the </w:t>
      </w:r>
      <w:hyperlink r:id="rId12" w:history="1">
        <w:r w:rsidR="00BC3822" w:rsidRPr="00BC3822">
          <w:rPr>
            <w:rStyle w:val="Hyperlink"/>
          </w:rPr>
          <w:t>Local Government Salary &amp; Benefits Survey</w:t>
        </w:r>
      </w:hyperlink>
      <w:r w:rsidR="00BC3822">
        <w:t>.</w:t>
      </w:r>
    </w:p>
    <w:p w14:paraId="6C6F4070" w14:textId="7573701F" w:rsidR="00F8393B" w:rsidRDefault="00F8393B" w:rsidP="00F8393B"/>
    <w:p w14:paraId="0B8B36FF" w14:textId="37B79592" w:rsidR="00AC3A12" w:rsidRPr="00AC3A12" w:rsidRDefault="00A95BC2" w:rsidP="00AC3A12">
      <w:pPr>
        <w:pStyle w:val="ListParagraph"/>
        <w:numPr>
          <w:ilvl w:val="0"/>
          <w:numId w:val="4"/>
        </w:numPr>
        <w:rPr>
          <w:b/>
        </w:rPr>
      </w:pPr>
      <w:r w:rsidRPr="00AC3A12">
        <w:rPr>
          <w:b/>
        </w:rPr>
        <w:t xml:space="preserve">To develop a competitive new pay program, a city will need to collect market data from its peer group. </w:t>
      </w:r>
    </w:p>
    <w:p w14:paraId="648B9634" w14:textId="77777777" w:rsidR="00AC3A12" w:rsidRDefault="00AC3A12" w:rsidP="00A95BC2"/>
    <w:p w14:paraId="3B21078B" w14:textId="03FBA90D" w:rsidR="00AC3A12" w:rsidRDefault="00A95BC2" w:rsidP="00A95BC2">
      <w:r>
        <w:t xml:space="preserve">This includes compensation practices on base pay administration, actual pay, range minimum, range maximum, and type of pay program used (step pay plan or </w:t>
      </w:r>
      <w:r w:rsidR="00BC3822">
        <w:t>merit-based</w:t>
      </w:r>
      <w:r>
        <w:t xml:space="preserve"> program). </w:t>
      </w:r>
    </w:p>
    <w:p w14:paraId="2E0399FC" w14:textId="77777777" w:rsidR="00AC3A12" w:rsidRDefault="00AC3A12" w:rsidP="00A95BC2"/>
    <w:p w14:paraId="03E2B6DA" w14:textId="357A405A" w:rsidR="00A95BC2" w:rsidRDefault="00A95BC2" w:rsidP="00A95BC2">
      <w:r w:rsidRPr="00AC3A12">
        <w:rPr>
          <w:i/>
        </w:rPr>
        <w:t>Salary ranges:</w:t>
      </w:r>
      <w:r>
        <w:t xml:space="preserve"> Step progression or open ranges based on compensation strategy for the city and what it desires to reward or pay for (seniority or performance). </w:t>
      </w:r>
    </w:p>
    <w:p w14:paraId="2575ED02" w14:textId="77777777" w:rsidR="00AC3A12" w:rsidRDefault="00AC3A12" w:rsidP="00A95BC2"/>
    <w:p w14:paraId="687EEB45" w14:textId="09390EFB" w:rsidR="00AC3A12" w:rsidRPr="00DC1127" w:rsidRDefault="00A95BC2" w:rsidP="00A95BC2">
      <w:r w:rsidRPr="00DC1127">
        <w:rPr>
          <w:i/>
        </w:rPr>
        <w:t>Developing salary ranges</w:t>
      </w:r>
      <w:r w:rsidRPr="00DC1127">
        <w:t xml:space="preserve">. Salary ranges are developed while taking into account the compensation strategy. A step pay progression </w:t>
      </w:r>
    </w:p>
    <w:p w14:paraId="2B8D8BF5" w14:textId="45C2384C" w:rsidR="00A95BC2" w:rsidRPr="00883456" w:rsidRDefault="00A95BC2" w:rsidP="00A95BC2">
      <w:r w:rsidRPr="00DC1127">
        <w:t>model rewards employees for length of service, while a merit-based</w:t>
      </w:r>
      <w:r w:rsidR="00AC3A12" w:rsidRPr="00DC1127">
        <w:t>,</w:t>
      </w:r>
      <w:r w:rsidRPr="00DC1127">
        <w:t xml:space="preserve"> open</w:t>
      </w:r>
      <w:r w:rsidR="00DC1127">
        <w:t>-</w:t>
      </w:r>
      <w:r w:rsidRPr="00DC1127">
        <w:t xml:space="preserve">range model rewards employees for individual performance. It is important for grade progression to be based on the internal job evaluation points for the job as well as market pay for comparable jobs. While a compensation consultant can be a great partner throughout the entire compensation plan design or revision process, this step in particular showcases how a consultant can add exceptional value to the design of the pay plan for a city. In particular, a consultant can help the city with various statistical analysis on the pay plans. For example, a regression line analysis is used to demonstrate a “line of best fit” and typically combines market data with internal job evaluation points/grades and a </w:t>
      </w:r>
      <w:r w:rsidRPr="00DC1127">
        <w:lastRenderedPageBreak/>
        <w:t>“compa</w:t>
      </w:r>
      <w:r w:rsidR="00AC4992" w:rsidRPr="00DC1127">
        <w:t>rison</w:t>
      </w:r>
      <w:r w:rsidRPr="00DC1127">
        <w:t>-ratio” the percentage obtained by dividing an actual salary by the midpoint of the salary range for that position. Some pay plans use ratio progression to build the grade structure incrementally starting with the lowest grade range and increasing the ranges as the grades go up. This manual method requires multiple iterations to calibrate the jobs based on their internal grade and market pay.</w:t>
      </w:r>
      <w:r w:rsidRPr="00883456">
        <w:t xml:space="preserve"> </w:t>
      </w:r>
    </w:p>
    <w:p w14:paraId="703F09C5" w14:textId="77777777" w:rsidR="00A95BC2" w:rsidRPr="00883456" w:rsidRDefault="00A95BC2" w:rsidP="00A95BC2"/>
    <w:p w14:paraId="3D66CD9E" w14:textId="098CDB68" w:rsidR="00A95BC2" w:rsidRDefault="00A95BC2" w:rsidP="00A95BC2">
      <w:r w:rsidRPr="00883456">
        <w:t>Below is a sample step progression base-pay schedule designed to match the sample job classification table shown</w:t>
      </w:r>
      <w:r w:rsidR="00E63EAC">
        <w:t xml:space="preserve"> below</w:t>
      </w:r>
      <w:r>
        <w:t>.</w:t>
      </w:r>
    </w:p>
    <w:p w14:paraId="2BEAF466" w14:textId="77777777" w:rsidR="00A95BC2" w:rsidRDefault="00A95BC2" w:rsidP="00A95BC2"/>
    <w:p w14:paraId="6FAECA43" w14:textId="46F68C02" w:rsidR="00A95BC2" w:rsidRDefault="00A95BC2" w:rsidP="00A95BC2">
      <w:r>
        <w:t>For the model base pay schedule</w:t>
      </w:r>
      <w:r w:rsidR="00E63EAC">
        <w:t xml:space="preserve"> shown below</w:t>
      </w:r>
      <w:r>
        <w:t>, the start rate is 85% of Step 5 (maximum). Step 1 is 3.3% above the start rate, and step-2 is 3.3% above step-1. In this model, Step 5 represents the approximate market reference rate based on the market survey results for one or more positions in the same classification level. Setting up the step increases is a very important decision and requires careful analysis to evaluate the budget impact of implementing the new ranges. It is important to keep in mind employees generally receive the combination of step increases and the overall salary range adjustment each year until their pay reaches the maximum step. For example, in the schedule below, an employee would receive a 3.3% step increase in addition to 2% schedule adjustment (typically negotiated based on cost of living or cost of labor increase) for a total of 5.3% of current pay. Once employee’s pay is at maximum, compensation increases would be equal to the percentage used to adjust the salary schedule.</w:t>
      </w:r>
    </w:p>
    <w:p w14:paraId="09F1FA3E" w14:textId="77777777" w:rsidR="00AC3A12" w:rsidRDefault="00AC3A12" w:rsidP="00A95BC2"/>
    <w:p w14:paraId="1F926B0C" w14:textId="0E59DBA0" w:rsidR="00A95BC2" w:rsidRDefault="00A95BC2" w:rsidP="00A95BC2">
      <w:r>
        <w:t>Given t</w:t>
      </w:r>
      <w:r w:rsidR="00E63EAC">
        <w:t>axpayers</w:t>
      </w:r>
      <w:r>
        <w:t xml:space="preserve"> resistance to paying higher taxes while demanding more services, the impact on a city budget could be significant and requires additional funding. When a city is establishing the pay steps, particularly the top step (market reference rate) it should consider its compensation strategy as discussed earlier. Some cities have a high level of constraints on their budget and the City Council resists tax increases; thus, as a result, the city may set the maximum at more conservative levels and implement pay plans that lag their market peer groups. Other cities may choose an approach that is comparable or above their market peer groups. Whichever approach is chosen, the most important outcome is to administer the approach consistently for all positions.</w:t>
      </w:r>
    </w:p>
    <w:p w14:paraId="37EC0CC0" w14:textId="77777777" w:rsidR="00AC3A12" w:rsidRDefault="00AC3A12" w:rsidP="00A95BC2"/>
    <w:p w14:paraId="7650095E" w14:textId="1A6EFF6A" w:rsidR="00BA4027" w:rsidRDefault="00A95BC2" w:rsidP="00A95BC2">
      <w:r>
        <w:t>(The city can convert the hourly pay grades below to a monthly rate by multiplying each hourly rate by 173.3. To convert to an annual rate, multiply each hourly rate by 2,080. This assumes the city uses a 40-hour work week as the standard for full-time employment)</w:t>
      </w:r>
      <w:r w:rsidR="007D7065">
        <w:t>.</w:t>
      </w:r>
    </w:p>
    <w:p w14:paraId="2E8198EC" w14:textId="44867CEE" w:rsidR="00BA4027" w:rsidRDefault="00BA4027">
      <w:r>
        <w:br w:type="page"/>
      </w:r>
    </w:p>
    <w:tbl>
      <w:tblPr>
        <w:tblpPr w:leftFromText="180" w:rightFromText="180" w:vertAnchor="text" w:horzAnchor="page" w:tblpX="3289" w:tblpY="13"/>
        <w:tblW w:w="8983" w:type="dxa"/>
        <w:tblLook w:val="04A0" w:firstRow="1" w:lastRow="0" w:firstColumn="1" w:lastColumn="0" w:noHBand="0" w:noVBand="1"/>
      </w:tblPr>
      <w:tblGrid>
        <w:gridCol w:w="1107"/>
        <w:gridCol w:w="1783"/>
        <w:gridCol w:w="1217"/>
        <w:gridCol w:w="1217"/>
        <w:gridCol w:w="1217"/>
        <w:gridCol w:w="1217"/>
        <w:gridCol w:w="1225"/>
      </w:tblGrid>
      <w:tr w:rsidR="00BA4027" w:rsidRPr="00BA4027" w14:paraId="397889E1" w14:textId="77777777" w:rsidTr="00BA4027">
        <w:trPr>
          <w:trHeight w:val="526"/>
        </w:trPr>
        <w:tc>
          <w:tcPr>
            <w:tcW w:w="8983"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D59CF75" w14:textId="77777777" w:rsidR="00BA4027" w:rsidRPr="00BA4027" w:rsidRDefault="00BA4027" w:rsidP="00AE4EE8">
            <w:pPr>
              <w:jc w:val="center"/>
              <w:rPr>
                <w:b/>
                <w:bCs/>
              </w:rPr>
            </w:pPr>
            <w:r w:rsidRPr="00BA4027">
              <w:rPr>
                <w:b/>
                <w:bCs/>
              </w:rPr>
              <w:lastRenderedPageBreak/>
              <w:t>Sample Step Progression for Base Pay Schedule</w:t>
            </w:r>
          </w:p>
        </w:tc>
      </w:tr>
      <w:tr w:rsidR="00BA4027" w:rsidRPr="00BA4027" w14:paraId="54F599B3" w14:textId="77777777" w:rsidTr="00BA4027">
        <w:trPr>
          <w:trHeight w:val="403"/>
        </w:trPr>
        <w:tc>
          <w:tcPr>
            <w:tcW w:w="1107" w:type="dxa"/>
            <w:tcBorders>
              <w:top w:val="nil"/>
              <w:left w:val="single" w:sz="8" w:space="0" w:color="auto"/>
              <w:bottom w:val="single" w:sz="8" w:space="0" w:color="auto"/>
              <w:right w:val="single" w:sz="4" w:space="0" w:color="auto"/>
            </w:tcBorders>
            <w:shd w:val="clear" w:color="000000" w:fill="D9D9D9"/>
            <w:noWrap/>
            <w:vAlign w:val="center"/>
            <w:hideMark/>
          </w:tcPr>
          <w:p w14:paraId="604E566D" w14:textId="77777777" w:rsidR="00BA4027" w:rsidRPr="00BA4027" w:rsidRDefault="00BA4027" w:rsidP="00BA4027">
            <w:pPr>
              <w:rPr>
                <w:b/>
                <w:bCs/>
              </w:rPr>
            </w:pPr>
            <w:r w:rsidRPr="00BA4027">
              <w:rPr>
                <w:b/>
                <w:bCs/>
              </w:rPr>
              <w:t>Grade</w:t>
            </w:r>
          </w:p>
        </w:tc>
        <w:tc>
          <w:tcPr>
            <w:tcW w:w="1783" w:type="dxa"/>
            <w:tcBorders>
              <w:top w:val="nil"/>
              <w:left w:val="nil"/>
              <w:bottom w:val="single" w:sz="8" w:space="0" w:color="auto"/>
              <w:right w:val="single" w:sz="4" w:space="0" w:color="auto"/>
            </w:tcBorders>
            <w:shd w:val="clear" w:color="000000" w:fill="D9D9D9"/>
            <w:noWrap/>
            <w:vAlign w:val="center"/>
            <w:hideMark/>
          </w:tcPr>
          <w:p w14:paraId="38567DB2" w14:textId="77777777" w:rsidR="00BA4027" w:rsidRPr="00BA4027" w:rsidRDefault="00BA4027" w:rsidP="00BA4027">
            <w:pPr>
              <w:rPr>
                <w:b/>
                <w:bCs/>
              </w:rPr>
            </w:pPr>
            <w:r w:rsidRPr="00BA4027">
              <w:rPr>
                <w:b/>
                <w:bCs/>
              </w:rPr>
              <w:t>Start Rate</w:t>
            </w:r>
          </w:p>
        </w:tc>
        <w:tc>
          <w:tcPr>
            <w:tcW w:w="1217" w:type="dxa"/>
            <w:tcBorders>
              <w:top w:val="nil"/>
              <w:left w:val="nil"/>
              <w:bottom w:val="single" w:sz="8" w:space="0" w:color="auto"/>
              <w:right w:val="single" w:sz="4" w:space="0" w:color="auto"/>
            </w:tcBorders>
            <w:shd w:val="clear" w:color="000000" w:fill="D9D9D9"/>
            <w:noWrap/>
            <w:vAlign w:val="center"/>
            <w:hideMark/>
          </w:tcPr>
          <w:p w14:paraId="6920F74B" w14:textId="77777777" w:rsidR="00BA4027" w:rsidRPr="00BA4027" w:rsidRDefault="00BA4027" w:rsidP="00BA4027">
            <w:pPr>
              <w:rPr>
                <w:b/>
                <w:bCs/>
              </w:rPr>
            </w:pPr>
            <w:r w:rsidRPr="00BA4027">
              <w:rPr>
                <w:b/>
                <w:bCs/>
              </w:rPr>
              <w:t>Step-1</w:t>
            </w:r>
          </w:p>
        </w:tc>
        <w:tc>
          <w:tcPr>
            <w:tcW w:w="1217" w:type="dxa"/>
            <w:tcBorders>
              <w:top w:val="nil"/>
              <w:left w:val="nil"/>
              <w:bottom w:val="single" w:sz="8" w:space="0" w:color="auto"/>
              <w:right w:val="single" w:sz="4" w:space="0" w:color="auto"/>
            </w:tcBorders>
            <w:shd w:val="clear" w:color="000000" w:fill="D9D9D9"/>
            <w:noWrap/>
            <w:vAlign w:val="center"/>
            <w:hideMark/>
          </w:tcPr>
          <w:p w14:paraId="30BBEC16" w14:textId="77777777" w:rsidR="00BA4027" w:rsidRPr="00BA4027" w:rsidRDefault="00BA4027" w:rsidP="00BA4027">
            <w:pPr>
              <w:rPr>
                <w:b/>
                <w:bCs/>
              </w:rPr>
            </w:pPr>
            <w:r w:rsidRPr="00BA4027">
              <w:rPr>
                <w:b/>
                <w:bCs/>
              </w:rPr>
              <w:t>Step-2</w:t>
            </w:r>
          </w:p>
        </w:tc>
        <w:tc>
          <w:tcPr>
            <w:tcW w:w="1217" w:type="dxa"/>
            <w:tcBorders>
              <w:top w:val="nil"/>
              <w:left w:val="nil"/>
              <w:bottom w:val="single" w:sz="8" w:space="0" w:color="auto"/>
              <w:right w:val="single" w:sz="4" w:space="0" w:color="auto"/>
            </w:tcBorders>
            <w:shd w:val="clear" w:color="000000" w:fill="D9D9D9"/>
            <w:noWrap/>
            <w:vAlign w:val="center"/>
            <w:hideMark/>
          </w:tcPr>
          <w:p w14:paraId="345CDACA" w14:textId="77777777" w:rsidR="00BA4027" w:rsidRPr="00BA4027" w:rsidRDefault="00BA4027" w:rsidP="00BA4027">
            <w:pPr>
              <w:rPr>
                <w:b/>
                <w:bCs/>
              </w:rPr>
            </w:pPr>
            <w:r w:rsidRPr="00BA4027">
              <w:rPr>
                <w:b/>
                <w:bCs/>
              </w:rPr>
              <w:t>Step-3</w:t>
            </w:r>
          </w:p>
        </w:tc>
        <w:tc>
          <w:tcPr>
            <w:tcW w:w="1217" w:type="dxa"/>
            <w:tcBorders>
              <w:top w:val="nil"/>
              <w:left w:val="nil"/>
              <w:bottom w:val="single" w:sz="8" w:space="0" w:color="auto"/>
              <w:right w:val="single" w:sz="4" w:space="0" w:color="auto"/>
            </w:tcBorders>
            <w:shd w:val="clear" w:color="000000" w:fill="D9D9D9"/>
            <w:noWrap/>
            <w:vAlign w:val="center"/>
            <w:hideMark/>
          </w:tcPr>
          <w:p w14:paraId="69424635" w14:textId="77777777" w:rsidR="00BA4027" w:rsidRPr="00BA4027" w:rsidRDefault="00BA4027" w:rsidP="00BA4027">
            <w:pPr>
              <w:rPr>
                <w:b/>
                <w:bCs/>
              </w:rPr>
            </w:pPr>
            <w:r w:rsidRPr="00BA4027">
              <w:rPr>
                <w:b/>
                <w:bCs/>
              </w:rPr>
              <w:t>Step-4</w:t>
            </w:r>
          </w:p>
        </w:tc>
        <w:tc>
          <w:tcPr>
            <w:tcW w:w="1225" w:type="dxa"/>
            <w:tcBorders>
              <w:top w:val="nil"/>
              <w:left w:val="nil"/>
              <w:bottom w:val="single" w:sz="8" w:space="0" w:color="auto"/>
              <w:right w:val="single" w:sz="8" w:space="0" w:color="auto"/>
            </w:tcBorders>
            <w:shd w:val="clear" w:color="000000" w:fill="D9D9D9"/>
            <w:noWrap/>
            <w:vAlign w:val="center"/>
            <w:hideMark/>
          </w:tcPr>
          <w:p w14:paraId="2E8C3C64" w14:textId="77777777" w:rsidR="00BA4027" w:rsidRPr="00BA4027" w:rsidRDefault="00BA4027" w:rsidP="00BA4027">
            <w:pPr>
              <w:rPr>
                <w:b/>
                <w:bCs/>
              </w:rPr>
            </w:pPr>
            <w:r w:rsidRPr="00BA4027">
              <w:rPr>
                <w:b/>
                <w:bCs/>
              </w:rPr>
              <w:t>Step-5</w:t>
            </w:r>
          </w:p>
        </w:tc>
      </w:tr>
      <w:tr w:rsidR="00BA4027" w:rsidRPr="00BA4027" w14:paraId="724B9A4F"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6D164BE8" w14:textId="77777777" w:rsidR="00BA4027" w:rsidRPr="00BA4027" w:rsidRDefault="00BA4027" w:rsidP="00BA4027">
            <w:r w:rsidRPr="00BA4027">
              <w:t>250</w:t>
            </w:r>
          </w:p>
        </w:tc>
        <w:tc>
          <w:tcPr>
            <w:tcW w:w="1783" w:type="dxa"/>
            <w:tcBorders>
              <w:top w:val="nil"/>
              <w:left w:val="nil"/>
              <w:bottom w:val="single" w:sz="4" w:space="0" w:color="auto"/>
              <w:right w:val="single" w:sz="4" w:space="0" w:color="auto"/>
            </w:tcBorders>
            <w:shd w:val="clear" w:color="auto" w:fill="auto"/>
            <w:noWrap/>
            <w:vAlign w:val="center"/>
            <w:hideMark/>
          </w:tcPr>
          <w:p w14:paraId="0B6AE1FF" w14:textId="77777777" w:rsidR="00BA4027" w:rsidRPr="00BA4027" w:rsidRDefault="00BA4027" w:rsidP="00BA4027">
            <w:r w:rsidRPr="00BA4027">
              <w:t>$40.16</w:t>
            </w:r>
          </w:p>
        </w:tc>
        <w:tc>
          <w:tcPr>
            <w:tcW w:w="1217" w:type="dxa"/>
            <w:tcBorders>
              <w:top w:val="nil"/>
              <w:left w:val="nil"/>
              <w:bottom w:val="single" w:sz="4" w:space="0" w:color="auto"/>
              <w:right w:val="single" w:sz="4" w:space="0" w:color="auto"/>
            </w:tcBorders>
            <w:shd w:val="clear" w:color="auto" w:fill="auto"/>
            <w:noWrap/>
            <w:vAlign w:val="center"/>
            <w:hideMark/>
          </w:tcPr>
          <w:p w14:paraId="1E6C9788" w14:textId="77777777" w:rsidR="00BA4027" w:rsidRPr="00BA4027" w:rsidRDefault="00BA4027" w:rsidP="00BA4027">
            <w:r w:rsidRPr="00BA4027">
              <w:t>$41.49</w:t>
            </w:r>
          </w:p>
        </w:tc>
        <w:tc>
          <w:tcPr>
            <w:tcW w:w="1217" w:type="dxa"/>
            <w:tcBorders>
              <w:top w:val="nil"/>
              <w:left w:val="nil"/>
              <w:bottom w:val="single" w:sz="4" w:space="0" w:color="auto"/>
              <w:right w:val="single" w:sz="4" w:space="0" w:color="auto"/>
            </w:tcBorders>
            <w:shd w:val="clear" w:color="auto" w:fill="auto"/>
            <w:noWrap/>
            <w:vAlign w:val="center"/>
            <w:hideMark/>
          </w:tcPr>
          <w:p w14:paraId="46FDF01B" w14:textId="77777777" w:rsidR="00BA4027" w:rsidRPr="00BA4027" w:rsidRDefault="00BA4027" w:rsidP="00BA4027">
            <w:r w:rsidRPr="00BA4027">
              <w:t>$42.87</w:t>
            </w:r>
          </w:p>
        </w:tc>
        <w:tc>
          <w:tcPr>
            <w:tcW w:w="1217" w:type="dxa"/>
            <w:tcBorders>
              <w:top w:val="nil"/>
              <w:left w:val="nil"/>
              <w:bottom w:val="single" w:sz="4" w:space="0" w:color="auto"/>
              <w:right w:val="single" w:sz="4" w:space="0" w:color="auto"/>
            </w:tcBorders>
            <w:shd w:val="clear" w:color="auto" w:fill="auto"/>
            <w:noWrap/>
            <w:vAlign w:val="center"/>
            <w:hideMark/>
          </w:tcPr>
          <w:p w14:paraId="16F12263" w14:textId="77777777" w:rsidR="00BA4027" w:rsidRPr="00BA4027" w:rsidRDefault="00BA4027" w:rsidP="00BA4027">
            <w:r w:rsidRPr="00BA4027">
              <w:t>$44.29</w:t>
            </w:r>
          </w:p>
        </w:tc>
        <w:tc>
          <w:tcPr>
            <w:tcW w:w="1217" w:type="dxa"/>
            <w:tcBorders>
              <w:top w:val="nil"/>
              <w:left w:val="nil"/>
              <w:bottom w:val="single" w:sz="4" w:space="0" w:color="auto"/>
              <w:right w:val="single" w:sz="4" w:space="0" w:color="auto"/>
            </w:tcBorders>
            <w:shd w:val="clear" w:color="auto" w:fill="auto"/>
            <w:noWrap/>
            <w:vAlign w:val="center"/>
            <w:hideMark/>
          </w:tcPr>
          <w:p w14:paraId="3BC0FCFE" w14:textId="77777777" w:rsidR="00BA4027" w:rsidRPr="00BA4027" w:rsidRDefault="00BA4027" w:rsidP="00BA4027">
            <w:r w:rsidRPr="00BA4027">
              <w:t>$45.75</w:t>
            </w:r>
          </w:p>
        </w:tc>
        <w:tc>
          <w:tcPr>
            <w:tcW w:w="1225" w:type="dxa"/>
            <w:tcBorders>
              <w:top w:val="nil"/>
              <w:left w:val="nil"/>
              <w:bottom w:val="single" w:sz="4" w:space="0" w:color="auto"/>
              <w:right w:val="single" w:sz="8" w:space="0" w:color="auto"/>
            </w:tcBorders>
            <w:shd w:val="clear" w:color="auto" w:fill="auto"/>
            <w:noWrap/>
            <w:vAlign w:val="center"/>
            <w:hideMark/>
          </w:tcPr>
          <w:p w14:paraId="75B66B9F" w14:textId="77777777" w:rsidR="00BA4027" w:rsidRPr="00BA4027" w:rsidRDefault="00BA4027" w:rsidP="00BA4027">
            <w:r w:rsidRPr="00BA4027">
              <w:t>$47.25</w:t>
            </w:r>
          </w:p>
        </w:tc>
      </w:tr>
      <w:tr w:rsidR="00BA4027" w:rsidRPr="00BA4027" w14:paraId="11568048"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596BCA19" w14:textId="77777777" w:rsidR="00BA4027" w:rsidRPr="00BA4027" w:rsidRDefault="00BA4027" w:rsidP="00BA4027">
            <w:r w:rsidRPr="00BA4027">
              <w:t>240</w:t>
            </w:r>
          </w:p>
        </w:tc>
        <w:tc>
          <w:tcPr>
            <w:tcW w:w="1783" w:type="dxa"/>
            <w:tcBorders>
              <w:top w:val="nil"/>
              <w:left w:val="nil"/>
              <w:bottom w:val="single" w:sz="4" w:space="0" w:color="auto"/>
              <w:right w:val="single" w:sz="4" w:space="0" w:color="auto"/>
            </w:tcBorders>
            <w:shd w:val="clear" w:color="auto" w:fill="auto"/>
            <w:noWrap/>
            <w:vAlign w:val="center"/>
            <w:hideMark/>
          </w:tcPr>
          <w:p w14:paraId="17351599" w14:textId="77777777" w:rsidR="00BA4027" w:rsidRPr="00BA4027" w:rsidRDefault="00BA4027" w:rsidP="00BA4027">
            <w:r w:rsidRPr="00BA4027">
              <w:t>$38.84</w:t>
            </w:r>
          </w:p>
        </w:tc>
        <w:tc>
          <w:tcPr>
            <w:tcW w:w="1217" w:type="dxa"/>
            <w:tcBorders>
              <w:top w:val="nil"/>
              <w:left w:val="nil"/>
              <w:bottom w:val="single" w:sz="4" w:space="0" w:color="auto"/>
              <w:right w:val="single" w:sz="4" w:space="0" w:color="auto"/>
            </w:tcBorders>
            <w:shd w:val="clear" w:color="auto" w:fill="auto"/>
            <w:noWrap/>
            <w:vAlign w:val="center"/>
            <w:hideMark/>
          </w:tcPr>
          <w:p w14:paraId="6A8A535D" w14:textId="77777777" w:rsidR="00BA4027" w:rsidRPr="00BA4027" w:rsidRDefault="00BA4027" w:rsidP="00BA4027">
            <w:r w:rsidRPr="00BA4027">
              <w:t>$40.12</w:t>
            </w:r>
          </w:p>
        </w:tc>
        <w:tc>
          <w:tcPr>
            <w:tcW w:w="1217" w:type="dxa"/>
            <w:tcBorders>
              <w:top w:val="nil"/>
              <w:left w:val="nil"/>
              <w:bottom w:val="single" w:sz="4" w:space="0" w:color="auto"/>
              <w:right w:val="single" w:sz="4" w:space="0" w:color="auto"/>
            </w:tcBorders>
            <w:shd w:val="clear" w:color="auto" w:fill="auto"/>
            <w:noWrap/>
            <w:vAlign w:val="center"/>
            <w:hideMark/>
          </w:tcPr>
          <w:p w14:paraId="57AD0D3F" w14:textId="77777777" w:rsidR="00BA4027" w:rsidRPr="00BA4027" w:rsidRDefault="00BA4027" w:rsidP="00BA4027">
            <w:r w:rsidRPr="00BA4027">
              <w:t>$41.45</w:t>
            </w:r>
          </w:p>
        </w:tc>
        <w:tc>
          <w:tcPr>
            <w:tcW w:w="1217" w:type="dxa"/>
            <w:tcBorders>
              <w:top w:val="nil"/>
              <w:left w:val="nil"/>
              <w:bottom w:val="single" w:sz="4" w:space="0" w:color="auto"/>
              <w:right w:val="single" w:sz="4" w:space="0" w:color="auto"/>
            </w:tcBorders>
            <w:shd w:val="clear" w:color="auto" w:fill="auto"/>
            <w:noWrap/>
            <w:vAlign w:val="center"/>
            <w:hideMark/>
          </w:tcPr>
          <w:p w14:paraId="24E20A65" w14:textId="77777777" w:rsidR="00BA4027" w:rsidRPr="00BA4027" w:rsidRDefault="00BA4027" w:rsidP="00BA4027">
            <w:r w:rsidRPr="00BA4027">
              <w:t>$42.82</w:t>
            </w:r>
          </w:p>
        </w:tc>
        <w:tc>
          <w:tcPr>
            <w:tcW w:w="1217" w:type="dxa"/>
            <w:tcBorders>
              <w:top w:val="nil"/>
              <w:left w:val="nil"/>
              <w:bottom w:val="single" w:sz="4" w:space="0" w:color="auto"/>
              <w:right w:val="single" w:sz="4" w:space="0" w:color="auto"/>
            </w:tcBorders>
            <w:shd w:val="clear" w:color="auto" w:fill="auto"/>
            <w:noWrap/>
            <w:vAlign w:val="center"/>
            <w:hideMark/>
          </w:tcPr>
          <w:p w14:paraId="0EB59CBC" w14:textId="77777777" w:rsidR="00BA4027" w:rsidRPr="00BA4027" w:rsidRDefault="00BA4027" w:rsidP="00BA4027">
            <w:r w:rsidRPr="00BA4027">
              <w:t>$44.24</w:t>
            </w:r>
          </w:p>
        </w:tc>
        <w:tc>
          <w:tcPr>
            <w:tcW w:w="1225" w:type="dxa"/>
            <w:tcBorders>
              <w:top w:val="nil"/>
              <w:left w:val="nil"/>
              <w:bottom w:val="single" w:sz="4" w:space="0" w:color="auto"/>
              <w:right w:val="single" w:sz="8" w:space="0" w:color="auto"/>
            </w:tcBorders>
            <w:shd w:val="clear" w:color="auto" w:fill="auto"/>
            <w:noWrap/>
            <w:vAlign w:val="center"/>
            <w:hideMark/>
          </w:tcPr>
          <w:p w14:paraId="684A9C2E" w14:textId="77777777" w:rsidR="00BA4027" w:rsidRPr="00BA4027" w:rsidRDefault="00BA4027" w:rsidP="00BA4027">
            <w:r w:rsidRPr="00BA4027">
              <w:t>$45.69</w:t>
            </w:r>
          </w:p>
        </w:tc>
      </w:tr>
      <w:tr w:rsidR="00BA4027" w:rsidRPr="00BA4027" w14:paraId="03CDBF36"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3E840F64" w14:textId="77777777" w:rsidR="00BA4027" w:rsidRPr="00BA4027" w:rsidRDefault="00BA4027" w:rsidP="00BA4027">
            <w:r w:rsidRPr="00BA4027">
              <w:t>230</w:t>
            </w:r>
          </w:p>
        </w:tc>
        <w:tc>
          <w:tcPr>
            <w:tcW w:w="1783" w:type="dxa"/>
            <w:tcBorders>
              <w:top w:val="nil"/>
              <w:left w:val="nil"/>
              <w:bottom w:val="single" w:sz="4" w:space="0" w:color="auto"/>
              <w:right w:val="single" w:sz="4" w:space="0" w:color="auto"/>
            </w:tcBorders>
            <w:shd w:val="clear" w:color="auto" w:fill="auto"/>
            <w:noWrap/>
            <w:vAlign w:val="center"/>
            <w:hideMark/>
          </w:tcPr>
          <w:p w14:paraId="6B4F42DF" w14:textId="77777777" w:rsidR="00BA4027" w:rsidRPr="00BA4027" w:rsidRDefault="00BA4027" w:rsidP="00BA4027">
            <w:r w:rsidRPr="00BA4027">
              <w:t>$37.51</w:t>
            </w:r>
          </w:p>
        </w:tc>
        <w:tc>
          <w:tcPr>
            <w:tcW w:w="1217" w:type="dxa"/>
            <w:tcBorders>
              <w:top w:val="nil"/>
              <w:left w:val="nil"/>
              <w:bottom w:val="single" w:sz="4" w:space="0" w:color="auto"/>
              <w:right w:val="single" w:sz="4" w:space="0" w:color="auto"/>
            </w:tcBorders>
            <w:shd w:val="clear" w:color="auto" w:fill="auto"/>
            <w:noWrap/>
            <w:vAlign w:val="center"/>
            <w:hideMark/>
          </w:tcPr>
          <w:p w14:paraId="5AC55328" w14:textId="77777777" w:rsidR="00BA4027" w:rsidRPr="00BA4027" w:rsidRDefault="00BA4027" w:rsidP="00BA4027">
            <w:r w:rsidRPr="00BA4027">
              <w:t>$38.75</w:t>
            </w:r>
          </w:p>
        </w:tc>
        <w:tc>
          <w:tcPr>
            <w:tcW w:w="1217" w:type="dxa"/>
            <w:tcBorders>
              <w:top w:val="nil"/>
              <w:left w:val="nil"/>
              <w:bottom w:val="single" w:sz="4" w:space="0" w:color="auto"/>
              <w:right w:val="single" w:sz="4" w:space="0" w:color="auto"/>
            </w:tcBorders>
            <w:shd w:val="clear" w:color="auto" w:fill="auto"/>
            <w:noWrap/>
            <w:vAlign w:val="center"/>
            <w:hideMark/>
          </w:tcPr>
          <w:p w14:paraId="5F13FFF8" w14:textId="77777777" w:rsidR="00BA4027" w:rsidRPr="00BA4027" w:rsidRDefault="00BA4027" w:rsidP="00BA4027">
            <w:r w:rsidRPr="00BA4027">
              <w:t>$40.03</w:t>
            </w:r>
          </w:p>
        </w:tc>
        <w:tc>
          <w:tcPr>
            <w:tcW w:w="1217" w:type="dxa"/>
            <w:tcBorders>
              <w:top w:val="nil"/>
              <w:left w:val="nil"/>
              <w:bottom w:val="single" w:sz="4" w:space="0" w:color="auto"/>
              <w:right w:val="single" w:sz="4" w:space="0" w:color="auto"/>
            </w:tcBorders>
            <w:shd w:val="clear" w:color="auto" w:fill="auto"/>
            <w:noWrap/>
            <w:vAlign w:val="center"/>
            <w:hideMark/>
          </w:tcPr>
          <w:p w14:paraId="1D4FB027" w14:textId="77777777" w:rsidR="00BA4027" w:rsidRPr="00BA4027" w:rsidRDefault="00BA4027" w:rsidP="00BA4027">
            <w:r w:rsidRPr="00BA4027">
              <w:t>$41.36</w:t>
            </w:r>
          </w:p>
        </w:tc>
        <w:tc>
          <w:tcPr>
            <w:tcW w:w="1217" w:type="dxa"/>
            <w:tcBorders>
              <w:top w:val="nil"/>
              <w:left w:val="nil"/>
              <w:bottom w:val="single" w:sz="4" w:space="0" w:color="auto"/>
              <w:right w:val="single" w:sz="4" w:space="0" w:color="auto"/>
            </w:tcBorders>
            <w:shd w:val="clear" w:color="auto" w:fill="auto"/>
            <w:noWrap/>
            <w:vAlign w:val="center"/>
            <w:hideMark/>
          </w:tcPr>
          <w:p w14:paraId="15258098" w14:textId="77777777" w:rsidR="00BA4027" w:rsidRPr="00BA4027" w:rsidRDefault="00BA4027" w:rsidP="00BA4027">
            <w:r w:rsidRPr="00BA4027">
              <w:t>$42.72</w:t>
            </w:r>
          </w:p>
        </w:tc>
        <w:tc>
          <w:tcPr>
            <w:tcW w:w="1225" w:type="dxa"/>
            <w:tcBorders>
              <w:top w:val="nil"/>
              <w:left w:val="nil"/>
              <w:bottom w:val="single" w:sz="4" w:space="0" w:color="auto"/>
              <w:right w:val="single" w:sz="8" w:space="0" w:color="auto"/>
            </w:tcBorders>
            <w:shd w:val="clear" w:color="auto" w:fill="auto"/>
            <w:noWrap/>
            <w:vAlign w:val="center"/>
            <w:hideMark/>
          </w:tcPr>
          <w:p w14:paraId="5AC2F214" w14:textId="77777777" w:rsidR="00BA4027" w:rsidRPr="00BA4027" w:rsidRDefault="00BA4027" w:rsidP="00BA4027">
            <w:r w:rsidRPr="00BA4027">
              <w:t>$44.13</w:t>
            </w:r>
          </w:p>
        </w:tc>
      </w:tr>
      <w:tr w:rsidR="00BA4027" w:rsidRPr="00BA4027" w14:paraId="159592EC"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072D3B36" w14:textId="77777777" w:rsidR="00BA4027" w:rsidRPr="00BA4027" w:rsidRDefault="00BA4027" w:rsidP="00BA4027">
            <w:r w:rsidRPr="00BA4027">
              <w:t>230</w:t>
            </w:r>
          </w:p>
        </w:tc>
        <w:tc>
          <w:tcPr>
            <w:tcW w:w="1783" w:type="dxa"/>
            <w:tcBorders>
              <w:top w:val="nil"/>
              <w:left w:val="nil"/>
              <w:bottom w:val="single" w:sz="4" w:space="0" w:color="auto"/>
              <w:right w:val="single" w:sz="4" w:space="0" w:color="auto"/>
            </w:tcBorders>
            <w:shd w:val="clear" w:color="auto" w:fill="auto"/>
            <w:noWrap/>
            <w:vAlign w:val="center"/>
            <w:hideMark/>
          </w:tcPr>
          <w:p w14:paraId="6D4529C2" w14:textId="77777777" w:rsidR="00BA4027" w:rsidRPr="00BA4027" w:rsidRDefault="00BA4027" w:rsidP="00BA4027">
            <w:r w:rsidRPr="00BA4027">
              <w:t>$37.51</w:t>
            </w:r>
          </w:p>
        </w:tc>
        <w:tc>
          <w:tcPr>
            <w:tcW w:w="1217" w:type="dxa"/>
            <w:tcBorders>
              <w:top w:val="nil"/>
              <w:left w:val="nil"/>
              <w:bottom w:val="single" w:sz="4" w:space="0" w:color="auto"/>
              <w:right w:val="single" w:sz="4" w:space="0" w:color="auto"/>
            </w:tcBorders>
            <w:shd w:val="clear" w:color="auto" w:fill="auto"/>
            <w:noWrap/>
            <w:vAlign w:val="center"/>
            <w:hideMark/>
          </w:tcPr>
          <w:p w14:paraId="115FD896" w14:textId="77777777" w:rsidR="00BA4027" w:rsidRPr="00BA4027" w:rsidRDefault="00BA4027" w:rsidP="00BA4027">
            <w:r w:rsidRPr="00BA4027">
              <w:t>$38.75</w:t>
            </w:r>
          </w:p>
        </w:tc>
        <w:tc>
          <w:tcPr>
            <w:tcW w:w="1217" w:type="dxa"/>
            <w:tcBorders>
              <w:top w:val="nil"/>
              <w:left w:val="nil"/>
              <w:bottom w:val="single" w:sz="4" w:space="0" w:color="auto"/>
              <w:right w:val="single" w:sz="4" w:space="0" w:color="auto"/>
            </w:tcBorders>
            <w:shd w:val="clear" w:color="auto" w:fill="auto"/>
            <w:noWrap/>
            <w:vAlign w:val="center"/>
            <w:hideMark/>
          </w:tcPr>
          <w:p w14:paraId="2504B58E" w14:textId="77777777" w:rsidR="00BA4027" w:rsidRPr="00BA4027" w:rsidRDefault="00BA4027" w:rsidP="00BA4027">
            <w:r w:rsidRPr="00BA4027">
              <w:t>$40.03</w:t>
            </w:r>
          </w:p>
        </w:tc>
        <w:tc>
          <w:tcPr>
            <w:tcW w:w="1217" w:type="dxa"/>
            <w:tcBorders>
              <w:top w:val="nil"/>
              <w:left w:val="nil"/>
              <w:bottom w:val="single" w:sz="4" w:space="0" w:color="auto"/>
              <w:right w:val="single" w:sz="4" w:space="0" w:color="auto"/>
            </w:tcBorders>
            <w:shd w:val="clear" w:color="auto" w:fill="auto"/>
            <w:noWrap/>
            <w:vAlign w:val="center"/>
            <w:hideMark/>
          </w:tcPr>
          <w:p w14:paraId="40B5D1DE" w14:textId="77777777" w:rsidR="00BA4027" w:rsidRPr="00BA4027" w:rsidRDefault="00BA4027" w:rsidP="00BA4027">
            <w:r w:rsidRPr="00BA4027">
              <w:t>$41.36</w:t>
            </w:r>
          </w:p>
        </w:tc>
        <w:tc>
          <w:tcPr>
            <w:tcW w:w="1217" w:type="dxa"/>
            <w:tcBorders>
              <w:top w:val="nil"/>
              <w:left w:val="nil"/>
              <w:bottom w:val="single" w:sz="4" w:space="0" w:color="auto"/>
              <w:right w:val="single" w:sz="4" w:space="0" w:color="auto"/>
            </w:tcBorders>
            <w:shd w:val="clear" w:color="auto" w:fill="auto"/>
            <w:noWrap/>
            <w:vAlign w:val="center"/>
            <w:hideMark/>
          </w:tcPr>
          <w:p w14:paraId="1A40FDDA" w14:textId="77777777" w:rsidR="00BA4027" w:rsidRPr="00BA4027" w:rsidRDefault="00BA4027" w:rsidP="00BA4027">
            <w:r w:rsidRPr="00BA4027">
              <w:t>$42.72</w:t>
            </w:r>
          </w:p>
        </w:tc>
        <w:tc>
          <w:tcPr>
            <w:tcW w:w="1225" w:type="dxa"/>
            <w:tcBorders>
              <w:top w:val="nil"/>
              <w:left w:val="nil"/>
              <w:bottom w:val="single" w:sz="4" w:space="0" w:color="auto"/>
              <w:right w:val="single" w:sz="8" w:space="0" w:color="auto"/>
            </w:tcBorders>
            <w:shd w:val="clear" w:color="auto" w:fill="auto"/>
            <w:noWrap/>
            <w:vAlign w:val="center"/>
            <w:hideMark/>
          </w:tcPr>
          <w:p w14:paraId="4A57639E" w14:textId="77777777" w:rsidR="00BA4027" w:rsidRPr="00BA4027" w:rsidRDefault="00BA4027" w:rsidP="00BA4027">
            <w:r w:rsidRPr="00BA4027">
              <w:t>$44.13</w:t>
            </w:r>
          </w:p>
        </w:tc>
      </w:tr>
      <w:tr w:rsidR="00BA4027" w:rsidRPr="00BA4027" w14:paraId="6C605D6B"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26321824" w14:textId="77777777" w:rsidR="00BA4027" w:rsidRPr="00BA4027" w:rsidRDefault="00BA4027" w:rsidP="00BA4027">
            <w:r w:rsidRPr="00BA4027">
              <w:t>230</w:t>
            </w:r>
          </w:p>
        </w:tc>
        <w:tc>
          <w:tcPr>
            <w:tcW w:w="1783" w:type="dxa"/>
            <w:tcBorders>
              <w:top w:val="nil"/>
              <w:left w:val="nil"/>
              <w:bottom w:val="single" w:sz="4" w:space="0" w:color="auto"/>
              <w:right w:val="single" w:sz="4" w:space="0" w:color="auto"/>
            </w:tcBorders>
            <w:shd w:val="clear" w:color="auto" w:fill="auto"/>
            <w:noWrap/>
            <w:vAlign w:val="center"/>
            <w:hideMark/>
          </w:tcPr>
          <w:p w14:paraId="6AD4DD97" w14:textId="77777777" w:rsidR="00BA4027" w:rsidRPr="00BA4027" w:rsidRDefault="00BA4027" w:rsidP="00BA4027">
            <w:r w:rsidRPr="00BA4027">
              <w:t>$37.51</w:t>
            </w:r>
          </w:p>
        </w:tc>
        <w:tc>
          <w:tcPr>
            <w:tcW w:w="1217" w:type="dxa"/>
            <w:tcBorders>
              <w:top w:val="nil"/>
              <w:left w:val="nil"/>
              <w:bottom w:val="single" w:sz="4" w:space="0" w:color="auto"/>
              <w:right w:val="single" w:sz="4" w:space="0" w:color="auto"/>
            </w:tcBorders>
            <w:shd w:val="clear" w:color="auto" w:fill="auto"/>
            <w:noWrap/>
            <w:vAlign w:val="center"/>
            <w:hideMark/>
          </w:tcPr>
          <w:p w14:paraId="0345D2C2" w14:textId="77777777" w:rsidR="00BA4027" w:rsidRPr="00BA4027" w:rsidRDefault="00BA4027" w:rsidP="00BA4027">
            <w:r w:rsidRPr="00BA4027">
              <w:t>$38.75</w:t>
            </w:r>
          </w:p>
        </w:tc>
        <w:tc>
          <w:tcPr>
            <w:tcW w:w="1217" w:type="dxa"/>
            <w:tcBorders>
              <w:top w:val="nil"/>
              <w:left w:val="nil"/>
              <w:bottom w:val="single" w:sz="4" w:space="0" w:color="auto"/>
              <w:right w:val="single" w:sz="4" w:space="0" w:color="auto"/>
            </w:tcBorders>
            <w:shd w:val="clear" w:color="auto" w:fill="auto"/>
            <w:noWrap/>
            <w:vAlign w:val="center"/>
            <w:hideMark/>
          </w:tcPr>
          <w:p w14:paraId="28B31B58" w14:textId="77777777" w:rsidR="00BA4027" w:rsidRPr="00BA4027" w:rsidRDefault="00BA4027" w:rsidP="00BA4027">
            <w:r w:rsidRPr="00BA4027">
              <w:t>$40.03</w:t>
            </w:r>
          </w:p>
        </w:tc>
        <w:tc>
          <w:tcPr>
            <w:tcW w:w="1217" w:type="dxa"/>
            <w:tcBorders>
              <w:top w:val="nil"/>
              <w:left w:val="nil"/>
              <w:bottom w:val="single" w:sz="4" w:space="0" w:color="auto"/>
              <w:right w:val="single" w:sz="4" w:space="0" w:color="auto"/>
            </w:tcBorders>
            <w:shd w:val="clear" w:color="auto" w:fill="auto"/>
            <w:noWrap/>
            <w:vAlign w:val="center"/>
            <w:hideMark/>
          </w:tcPr>
          <w:p w14:paraId="7A2CC1A7" w14:textId="77777777" w:rsidR="00BA4027" w:rsidRPr="00BA4027" w:rsidRDefault="00BA4027" w:rsidP="00BA4027">
            <w:r w:rsidRPr="00BA4027">
              <w:t>$41.36</w:t>
            </w:r>
          </w:p>
        </w:tc>
        <w:tc>
          <w:tcPr>
            <w:tcW w:w="1217" w:type="dxa"/>
            <w:tcBorders>
              <w:top w:val="nil"/>
              <w:left w:val="nil"/>
              <w:bottom w:val="single" w:sz="4" w:space="0" w:color="auto"/>
              <w:right w:val="single" w:sz="4" w:space="0" w:color="auto"/>
            </w:tcBorders>
            <w:shd w:val="clear" w:color="auto" w:fill="auto"/>
            <w:noWrap/>
            <w:vAlign w:val="center"/>
            <w:hideMark/>
          </w:tcPr>
          <w:p w14:paraId="220E2DD6" w14:textId="77777777" w:rsidR="00BA4027" w:rsidRPr="00BA4027" w:rsidRDefault="00BA4027" w:rsidP="00BA4027">
            <w:r w:rsidRPr="00BA4027">
              <w:t>$42.72</w:t>
            </w:r>
          </w:p>
        </w:tc>
        <w:tc>
          <w:tcPr>
            <w:tcW w:w="1225" w:type="dxa"/>
            <w:tcBorders>
              <w:top w:val="nil"/>
              <w:left w:val="nil"/>
              <w:bottom w:val="single" w:sz="4" w:space="0" w:color="auto"/>
              <w:right w:val="single" w:sz="8" w:space="0" w:color="auto"/>
            </w:tcBorders>
            <w:shd w:val="clear" w:color="auto" w:fill="auto"/>
            <w:noWrap/>
            <w:vAlign w:val="center"/>
            <w:hideMark/>
          </w:tcPr>
          <w:p w14:paraId="1501427C" w14:textId="77777777" w:rsidR="00BA4027" w:rsidRPr="00BA4027" w:rsidRDefault="00BA4027" w:rsidP="00BA4027">
            <w:r w:rsidRPr="00BA4027">
              <w:t>$44.13</w:t>
            </w:r>
          </w:p>
        </w:tc>
      </w:tr>
      <w:tr w:rsidR="00BA4027" w:rsidRPr="00BA4027" w14:paraId="4EA6AC46"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47ECD1EC" w14:textId="77777777" w:rsidR="00BA4027" w:rsidRPr="00BA4027" w:rsidRDefault="00BA4027" w:rsidP="00BA4027">
            <w:r w:rsidRPr="00BA4027">
              <w:t>220</w:t>
            </w:r>
          </w:p>
        </w:tc>
        <w:tc>
          <w:tcPr>
            <w:tcW w:w="1783" w:type="dxa"/>
            <w:tcBorders>
              <w:top w:val="nil"/>
              <w:left w:val="nil"/>
              <w:bottom w:val="single" w:sz="4" w:space="0" w:color="auto"/>
              <w:right w:val="single" w:sz="4" w:space="0" w:color="auto"/>
            </w:tcBorders>
            <w:shd w:val="clear" w:color="auto" w:fill="auto"/>
            <w:noWrap/>
            <w:vAlign w:val="center"/>
            <w:hideMark/>
          </w:tcPr>
          <w:p w14:paraId="633E34E8" w14:textId="77777777" w:rsidR="00BA4027" w:rsidRPr="00BA4027" w:rsidRDefault="00BA4027" w:rsidP="00BA4027">
            <w:r w:rsidRPr="00BA4027">
              <w:t>$36.18</w:t>
            </w:r>
          </w:p>
        </w:tc>
        <w:tc>
          <w:tcPr>
            <w:tcW w:w="1217" w:type="dxa"/>
            <w:tcBorders>
              <w:top w:val="nil"/>
              <w:left w:val="nil"/>
              <w:bottom w:val="single" w:sz="4" w:space="0" w:color="auto"/>
              <w:right w:val="single" w:sz="4" w:space="0" w:color="auto"/>
            </w:tcBorders>
            <w:shd w:val="clear" w:color="auto" w:fill="auto"/>
            <w:noWrap/>
            <w:vAlign w:val="center"/>
            <w:hideMark/>
          </w:tcPr>
          <w:p w14:paraId="648090E1" w14:textId="77777777" w:rsidR="00BA4027" w:rsidRPr="00BA4027" w:rsidRDefault="00BA4027" w:rsidP="00BA4027">
            <w:r w:rsidRPr="00BA4027">
              <w:t>$37.38</w:t>
            </w:r>
          </w:p>
        </w:tc>
        <w:tc>
          <w:tcPr>
            <w:tcW w:w="1217" w:type="dxa"/>
            <w:tcBorders>
              <w:top w:val="nil"/>
              <w:left w:val="nil"/>
              <w:bottom w:val="single" w:sz="4" w:space="0" w:color="auto"/>
              <w:right w:val="single" w:sz="4" w:space="0" w:color="auto"/>
            </w:tcBorders>
            <w:shd w:val="clear" w:color="auto" w:fill="auto"/>
            <w:noWrap/>
            <w:vAlign w:val="center"/>
            <w:hideMark/>
          </w:tcPr>
          <w:p w14:paraId="3342F775" w14:textId="77777777" w:rsidR="00BA4027" w:rsidRPr="00BA4027" w:rsidRDefault="00BA4027" w:rsidP="00BA4027">
            <w:r w:rsidRPr="00BA4027">
              <w:t>$38.61</w:t>
            </w:r>
          </w:p>
        </w:tc>
        <w:tc>
          <w:tcPr>
            <w:tcW w:w="1217" w:type="dxa"/>
            <w:tcBorders>
              <w:top w:val="nil"/>
              <w:left w:val="nil"/>
              <w:bottom w:val="single" w:sz="4" w:space="0" w:color="auto"/>
              <w:right w:val="single" w:sz="4" w:space="0" w:color="auto"/>
            </w:tcBorders>
            <w:shd w:val="clear" w:color="auto" w:fill="auto"/>
            <w:noWrap/>
            <w:vAlign w:val="center"/>
            <w:hideMark/>
          </w:tcPr>
          <w:p w14:paraId="2B1C16AD" w14:textId="77777777" w:rsidR="00BA4027" w:rsidRPr="00BA4027" w:rsidRDefault="00BA4027" w:rsidP="00BA4027">
            <w:r w:rsidRPr="00BA4027">
              <w:t>$39.89</w:t>
            </w:r>
          </w:p>
        </w:tc>
        <w:tc>
          <w:tcPr>
            <w:tcW w:w="1217" w:type="dxa"/>
            <w:tcBorders>
              <w:top w:val="nil"/>
              <w:left w:val="nil"/>
              <w:bottom w:val="single" w:sz="4" w:space="0" w:color="auto"/>
              <w:right w:val="single" w:sz="4" w:space="0" w:color="auto"/>
            </w:tcBorders>
            <w:shd w:val="clear" w:color="auto" w:fill="auto"/>
            <w:noWrap/>
            <w:vAlign w:val="center"/>
            <w:hideMark/>
          </w:tcPr>
          <w:p w14:paraId="6F9EB626" w14:textId="77777777" w:rsidR="00BA4027" w:rsidRPr="00BA4027" w:rsidRDefault="00BA4027" w:rsidP="00BA4027">
            <w:r w:rsidRPr="00BA4027">
              <w:t>$41.21</w:t>
            </w:r>
          </w:p>
        </w:tc>
        <w:tc>
          <w:tcPr>
            <w:tcW w:w="1225" w:type="dxa"/>
            <w:tcBorders>
              <w:top w:val="nil"/>
              <w:left w:val="nil"/>
              <w:bottom w:val="single" w:sz="4" w:space="0" w:color="auto"/>
              <w:right w:val="single" w:sz="8" w:space="0" w:color="auto"/>
            </w:tcBorders>
            <w:shd w:val="clear" w:color="auto" w:fill="auto"/>
            <w:noWrap/>
            <w:vAlign w:val="center"/>
            <w:hideMark/>
          </w:tcPr>
          <w:p w14:paraId="36BEBEB3" w14:textId="77777777" w:rsidR="00BA4027" w:rsidRPr="00BA4027" w:rsidRDefault="00BA4027" w:rsidP="00BA4027">
            <w:r w:rsidRPr="00BA4027">
              <w:t>$42.56</w:t>
            </w:r>
          </w:p>
        </w:tc>
      </w:tr>
      <w:tr w:rsidR="00BA4027" w:rsidRPr="00BA4027" w14:paraId="0571D6BE"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6B2BCBB3" w14:textId="77777777" w:rsidR="00BA4027" w:rsidRPr="00BA4027" w:rsidRDefault="00BA4027" w:rsidP="00BA4027">
            <w:r w:rsidRPr="00BA4027">
              <w:t>210</w:t>
            </w:r>
          </w:p>
        </w:tc>
        <w:tc>
          <w:tcPr>
            <w:tcW w:w="1783" w:type="dxa"/>
            <w:tcBorders>
              <w:top w:val="nil"/>
              <w:left w:val="nil"/>
              <w:bottom w:val="single" w:sz="4" w:space="0" w:color="auto"/>
              <w:right w:val="single" w:sz="4" w:space="0" w:color="auto"/>
            </w:tcBorders>
            <w:shd w:val="clear" w:color="auto" w:fill="auto"/>
            <w:noWrap/>
            <w:vAlign w:val="center"/>
            <w:hideMark/>
          </w:tcPr>
          <w:p w14:paraId="0A327CCE" w14:textId="77777777" w:rsidR="00BA4027" w:rsidRPr="00BA4027" w:rsidRDefault="00BA4027" w:rsidP="00BA4027">
            <w:r w:rsidRPr="00BA4027">
              <w:t>$34.85</w:t>
            </w:r>
          </w:p>
        </w:tc>
        <w:tc>
          <w:tcPr>
            <w:tcW w:w="1217" w:type="dxa"/>
            <w:tcBorders>
              <w:top w:val="nil"/>
              <w:left w:val="nil"/>
              <w:bottom w:val="single" w:sz="4" w:space="0" w:color="auto"/>
              <w:right w:val="single" w:sz="4" w:space="0" w:color="auto"/>
            </w:tcBorders>
            <w:shd w:val="clear" w:color="auto" w:fill="auto"/>
            <w:noWrap/>
            <w:vAlign w:val="center"/>
            <w:hideMark/>
          </w:tcPr>
          <w:p w14:paraId="4DEA982B" w14:textId="77777777" w:rsidR="00BA4027" w:rsidRPr="00BA4027" w:rsidRDefault="00BA4027" w:rsidP="00BA4027">
            <w:r w:rsidRPr="00BA4027">
              <w:t>$36.00</w:t>
            </w:r>
          </w:p>
        </w:tc>
        <w:tc>
          <w:tcPr>
            <w:tcW w:w="1217" w:type="dxa"/>
            <w:tcBorders>
              <w:top w:val="nil"/>
              <w:left w:val="nil"/>
              <w:bottom w:val="single" w:sz="4" w:space="0" w:color="auto"/>
              <w:right w:val="single" w:sz="4" w:space="0" w:color="auto"/>
            </w:tcBorders>
            <w:shd w:val="clear" w:color="auto" w:fill="auto"/>
            <w:noWrap/>
            <w:vAlign w:val="center"/>
            <w:hideMark/>
          </w:tcPr>
          <w:p w14:paraId="3BDC7F57" w14:textId="77777777" w:rsidR="00BA4027" w:rsidRPr="00BA4027" w:rsidRDefault="00BA4027" w:rsidP="00BA4027">
            <w:r w:rsidRPr="00BA4027">
              <w:t>$37.19</w:t>
            </w:r>
          </w:p>
        </w:tc>
        <w:tc>
          <w:tcPr>
            <w:tcW w:w="1217" w:type="dxa"/>
            <w:tcBorders>
              <w:top w:val="nil"/>
              <w:left w:val="nil"/>
              <w:bottom w:val="single" w:sz="4" w:space="0" w:color="auto"/>
              <w:right w:val="single" w:sz="4" w:space="0" w:color="auto"/>
            </w:tcBorders>
            <w:shd w:val="clear" w:color="auto" w:fill="auto"/>
            <w:noWrap/>
            <w:vAlign w:val="center"/>
            <w:hideMark/>
          </w:tcPr>
          <w:p w14:paraId="150DFEA8" w14:textId="77777777" w:rsidR="00BA4027" w:rsidRPr="00BA4027" w:rsidRDefault="00BA4027" w:rsidP="00BA4027">
            <w:r w:rsidRPr="00BA4027">
              <w:t>$38.43</w:t>
            </w:r>
          </w:p>
        </w:tc>
        <w:tc>
          <w:tcPr>
            <w:tcW w:w="1217" w:type="dxa"/>
            <w:tcBorders>
              <w:top w:val="nil"/>
              <w:left w:val="nil"/>
              <w:bottom w:val="single" w:sz="4" w:space="0" w:color="auto"/>
              <w:right w:val="single" w:sz="4" w:space="0" w:color="auto"/>
            </w:tcBorders>
            <w:shd w:val="clear" w:color="auto" w:fill="auto"/>
            <w:noWrap/>
            <w:vAlign w:val="center"/>
            <w:hideMark/>
          </w:tcPr>
          <w:p w14:paraId="54EF2289" w14:textId="77777777" w:rsidR="00BA4027" w:rsidRPr="00BA4027" w:rsidRDefault="00BA4027" w:rsidP="00BA4027">
            <w:r w:rsidRPr="00BA4027">
              <w:t>$39.70</w:t>
            </w:r>
          </w:p>
        </w:tc>
        <w:tc>
          <w:tcPr>
            <w:tcW w:w="1225" w:type="dxa"/>
            <w:tcBorders>
              <w:top w:val="nil"/>
              <w:left w:val="nil"/>
              <w:bottom w:val="single" w:sz="4" w:space="0" w:color="auto"/>
              <w:right w:val="single" w:sz="8" w:space="0" w:color="auto"/>
            </w:tcBorders>
            <w:shd w:val="clear" w:color="auto" w:fill="auto"/>
            <w:noWrap/>
            <w:vAlign w:val="center"/>
            <w:hideMark/>
          </w:tcPr>
          <w:p w14:paraId="750CC1C0" w14:textId="77777777" w:rsidR="00BA4027" w:rsidRPr="00BA4027" w:rsidRDefault="00BA4027" w:rsidP="00BA4027">
            <w:r w:rsidRPr="00BA4027">
              <w:t>$41.00</w:t>
            </w:r>
          </w:p>
        </w:tc>
      </w:tr>
      <w:tr w:rsidR="00BA4027" w:rsidRPr="00BA4027" w14:paraId="72A294A4"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7B47F164" w14:textId="77777777" w:rsidR="00BA4027" w:rsidRPr="00BA4027" w:rsidRDefault="00BA4027" w:rsidP="00BA4027">
            <w:r w:rsidRPr="00BA4027">
              <w:t>200</w:t>
            </w:r>
          </w:p>
        </w:tc>
        <w:tc>
          <w:tcPr>
            <w:tcW w:w="1783" w:type="dxa"/>
            <w:tcBorders>
              <w:top w:val="nil"/>
              <w:left w:val="nil"/>
              <w:bottom w:val="single" w:sz="4" w:space="0" w:color="auto"/>
              <w:right w:val="single" w:sz="4" w:space="0" w:color="auto"/>
            </w:tcBorders>
            <w:shd w:val="clear" w:color="auto" w:fill="auto"/>
            <w:noWrap/>
            <w:vAlign w:val="center"/>
            <w:hideMark/>
          </w:tcPr>
          <w:p w14:paraId="12047647" w14:textId="77777777" w:rsidR="00BA4027" w:rsidRPr="00BA4027" w:rsidRDefault="00BA4027" w:rsidP="00BA4027">
            <w:r w:rsidRPr="00BA4027">
              <w:t>$33.52</w:t>
            </w:r>
          </w:p>
        </w:tc>
        <w:tc>
          <w:tcPr>
            <w:tcW w:w="1217" w:type="dxa"/>
            <w:tcBorders>
              <w:top w:val="nil"/>
              <w:left w:val="nil"/>
              <w:bottom w:val="single" w:sz="4" w:space="0" w:color="auto"/>
              <w:right w:val="single" w:sz="4" w:space="0" w:color="auto"/>
            </w:tcBorders>
            <w:shd w:val="clear" w:color="auto" w:fill="auto"/>
            <w:noWrap/>
            <w:vAlign w:val="center"/>
            <w:hideMark/>
          </w:tcPr>
          <w:p w14:paraId="503A3977" w14:textId="77777777" w:rsidR="00BA4027" w:rsidRPr="00BA4027" w:rsidRDefault="00BA4027" w:rsidP="00BA4027">
            <w:r w:rsidRPr="00BA4027">
              <w:t>$34.63</w:t>
            </w:r>
          </w:p>
        </w:tc>
        <w:tc>
          <w:tcPr>
            <w:tcW w:w="1217" w:type="dxa"/>
            <w:tcBorders>
              <w:top w:val="nil"/>
              <w:left w:val="nil"/>
              <w:bottom w:val="single" w:sz="4" w:space="0" w:color="auto"/>
              <w:right w:val="single" w:sz="4" w:space="0" w:color="auto"/>
            </w:tcBorders>
            <w:shd w:val="clear" w:color="auto" w:fill="auto"/>
            <w:noWrap/>
            <w:vAlign w:val="center"/>
            <w:hideMark/>
          </w:tcPr>
          <w:p w14:paraId="64BB627E" w14:textId="77777777" w:rsidR="00BA4027" w:rsidRPr="00BA4027" w:rsidRDefault="00BA4027" w:rsidP="00BA4027">
            <w:r w:rsidRPr="00BA4027">
              <w:t>$35.78</w:t>
            </w:r>
          </w:p>
        </w:tc>
        <w:tc>
          <w:tcPr>
            <w:tcW w:w="1217" w:type="dxa"/>
            <w:tcBorders>
              <w:top w:val="nil"/>
              <w:left w:val="nil"/>
              <w:bottom w:val="single" w:sz="4" w:space="0" w:color="auto"/>
              <w:right w:val="single" w:sz="4" w:space="0" w:color="auto"/>
            </w:tcBorders>
            <w:shd w:val="clear" w:color="auto" w:fill="auto"/>
            <w:noWrap/>
            <w:vAlign w:val="center"/>
            <w:hideMark/>
          </w:tcPr>
          <w:p w14:paraId="03BE7AEE" w14:textId="77777777" w:rsidR="00BA4027" w:rsidRPr="00BA4027" w:rsidRDefault="00BA4027" w:rsidP="00BA4027">
            <w:r w:rsidRPr="00BA4027">
              <w:t>$36.96</w:t>
            </w:r>
          </w:p>
        </w:tc>
        <w:tc>
          <w:tcPr>
            <w:tcW w:w="1217" w:type="dxa"/>
            <w:tcBorders>
              <w:top w:val="nil"/>
              <w:left w:val="nil"/>
              <w:bottom w:val="single" w:sz="4" w:space="0" w:color="auto"/>
              <w:right w:val="single" w:sz="4" w:space="0" w:color="auto"/>
            </w:tcBorders>
            <w:shd w:val="clear" w:color="auto" w:fill="auto"/>
            <w:noWrap/>
            <w:vAlign w:val="center"/>
            <w:hideMark/>
          </w:tcPr>
          <w:p w14:paraId="3D7EB94E" w14:textId="77777777" w:rsidR="00BA4027" w:rsidRPr="00BA4027" w:rsidRDefault="00BA4027" w:rsidP="00BA4027">
            <w:r w:rsidRPr="00BA4027">
              <w:t>$38.18</w:t>
            </w:r>
          </w:p>
        </w:tc>
        <w:tc>
          <w:tcPr>
            <w:tcW w:w="1225" w:type="dxa"/>
            <w:tcBorders>
              <w:top w:val="nil"/>
              <w:left w:val="nil"/>
              <w:bottom w:val="single" w:sz="4" w:space="0" w:color="auto"/>
              <w:right w:val="single" w:sz="8" w:space="0" w:color="auto"/>
            </w:tcBorders>
            <w:shd w:val="clear" w:color="auto" w:fill="auto"/>
            <w:noWrap/>
            <w:vAlign w:val="center"/>
            <w:hideMark/>
          </w:tcPr>
          <w:p w14:paraId="4197ABB2" w14:textId="77777777" w:rsidR="00BA4027" w:rsidRPr="00BA4027" w:rsidRDefault="00BA4027" w:rsidP="00BA4027">
            <w:r w:rsidRPr="00BA4027">
              <w:t>$39.44</w:t>
            </w:r>
          </w:p>
        </w:tc>
      </w:tr>
      <w:tr w:rsidR="00BA4027" w:rsidRPr="00BA4027" w14:paraId="54827F19"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622D54A2" w14:textId="77777777" w:rsidR="00BA4027" w:rsidRPr="00BA4027" w:rsidRDefault="00BA4027" w:rsidP="00BA4027">
            <w:r w:rsidRPr="00BA4027">
              <w:t>190</w:t>
            </w:r>
          </w:p>
        </w:tc>
        <w:tc>
          <w:tcPr>
            <w:tcW w:w="1783" w:type="dxa"/>
            <w:tcBorders>
              <w:top w:val="nil"/>
              <w:left w:val="nil"/>
              <w:bottom w:val="single" w:sz="4" w:space="0" w:color="auto"/>
              <w:right w:val="single" w:sz="4" w:space="0" w:color="auto"/>
            </w:tcBorders>
            <w:shd w:val="clear" w:color="auto" w:fill="auto"/>
            <w:noWrap/>
            <w:vAlign w:val="center"/>
            <w:hideMark/>
          </w:tcPr>
          <w:p w14:paraId="0014AAD7" w14:textId="77777777" w:rsidR="00BA4027" w:rsidRPr="00BA4027" w:rsidRDefault="00BA4027" w:rsidP="00BA4027">
            <w:r w:rsidRPr="00BA4027">
              <w:t>$32.19</w:t>
            </w:r>
          </w:p>
        </w:tc>
        <w:tc>
          <w:tcPr>
            <w:tcW w:w="1217" w:type="dxa"/>
            <w:tcBorders>
              <w:top w:val="nil"/>
              <w:left w:val="nil"/>
              <w:bottom w:val="single" w:sz="4" w:space="0" w:color="auto"/>
              <w:right w:val="single" w:sz="4" w:space="0" w:color="auto"/>
            </w:tcBorders>
            <w:shd w:val="clear" w:color="auto" w:fill="auto"/>
            <w:noWrap/>
            <w:vAlign w:val="center"/>
            <w:hideMark/>
          </w:tcPr>
          <w:p w14:paraId="33EAA15E" w14:textId="77777777" w:rsidR="00BA4027" w:rsidRPr="00BA4027" w:rsidRDefault="00BA4027" w:rsidP="00BA4027">
            <w:r w:rsidRPr="00BA4027">
              <w:t>$33.26</w:t>
            </w:r>
          </w:p>
        </w:tc>
        <w:tc>
          <w:tcPr>
            <w:tcW w:w="1217" w:type="dxa"/>
            <w:tcBorders>
              <w:top w:val="nil"/>
              <w:left w:val="nil"/>
              <w:bottom w:val="single" w:sz="4" w:space="0" w:color="auto"/>
              <w:right w:val="single" w:sz="4" w:space="0" w:color="auto"/>
            </w:tcBorders>
            <w:shd w:val="clear" w:color="auto" w:fill="auto"/>
            <w:noWrap/>
            <w:vAlign w:val="center"/>
            <w:hideMark/>
          </w:tcPr>
          <w:p w14:paraId="4B3D73E2" w14:textId="77777777" w:rsidR="00BA4027" w:rsidRPr="00BA4027" w:rsidRDefault="00BA4027" w:rsidP="00BA4027">
            <w:r w:rsidRPr="00BA4027">
              <w:t>$34.36</w:t>
            </w:r>
          </w:p>
        </w:tc>
        <w:tc>
          <w:tcPr>
            <w:tcW w:w="1217" w:type="dxa"/>
            <w:tcBorders>
              <w:top w:val="nil"/>
              <w:left w:val="nil"/>
              <w:bottom w:val="single" w:sz="4" w:space="0" w:color="auto"/>
              <w:right w:val="single" w:sz="4" w:space="0" w:color="auto"/>
            </w:tcBorders>
            <w:shd w:val="clear" w:color="auto" w:fill="auto"/>
            <w:noWrap/>
            <w:vAlign w:val="center"/>
            <w:hideMark/>
          </w:tcPr>
          <w:p w14:paraId="0F937953" w14:textId="77777777" w:rsidR="00BA4027" w:rsidRPr="00BA4027" w:rsidRDefault="00BA4027" w:rsidP="00BA4027">
            <w:r w:rsidRPr="00BA4027">
              <w:t>$35.49</w:t>
            </w:r>
          </w:p>
        </w:tc>
        <w:tc>
          <w:tcPr>
            <w:tcW w:w="1217" w:type="dxa"/>
            <w:tcBorders>
              <w:top w:val="nil"/>
              <w:left w:val="nil"/>
              <w:bottom w:val="single" w:sz="4" w:space="0" w:color="auto"/>
              <w:right w:val="single" w:sz="4" w:space="0" w:color="auto"/>
            </w:tcBorders>
            <w:shd w:val="clear" w:color="auto" w:fill="auto"/>
            <w:noWrap/>
            <w:vAlign w:val="center"/>
            <w:hideMark/>
          </w:tcPr>
          <w:p w14:paraId="27A21EED" w14:textId="77777777" w:rsidR="00BA4027" w:rsidRPr="00BA4027" w:rsidRDefault="00BA4027" w:rsidP="00BA4027">
            <w:r w:rsidRPr="00BA4027">
              <w:t>$36.67</w:t>
            </w:r>
          </w:p>
        </w:tc>
        <w:tc>
          <w:tcPr>
            <w:tcW w:w="1225" w:type="dxa"/>
            <w:tcBorders>
              <w:top w:val="nil"/>
              <w:left w:val="nil"/>
              <w:bottom w:val="single" w:sz="4" w:space="0" w:color="auto"/>
              <w:right w:val="single" w:sz="8" w:space="0" w:color="auto"/>
            </w:tcBorders>
            <w:shd w:val="clear" w:color="auto" w:fill="auto"/>
            <w:noWrap/>
            <w:vAlign w:val="center"/>
            <w:hideMark/>
          </w:tcPr>
          <w:p w14:paraId="11891F4D" w14:textId="77777777" w:rsidR="00BA4027" w:rsidRPr="00BA4027" w:rsidRDefault="00BA4027" w:rsidP="00BA4027">
            <w:r w:rsidRPr="00BA4027">
              <w:t>$37.87</w:t>
            </w:r>
          </w:p>
        </w:tc>
      </w:tr>
      <w:tr w:rsidR="00BA4027" w:rsidRPr="00BA4027" w14:paraId="123DBC98"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2D52CFC7" w14:textId="77777777" w:rsidR="00BA4027" w:rsidRPr="00BA4027" w:rsidRDefault="00BA4027" w:rsidP="00BA4027">
            <w:r w:rsidRPr="00BA4027">
              <w:t>180</w:t>
            </w:r>
          </w:p>
        </w:tc>
        <w:tc>
          <w:tcPr>
            <w:tcW w:w="1783" w:type="dxa"/>
            <w:tcBorders>
              <w:top w:val="nil"/>
              <w:left w:val="nil"/>
              <w:bottom w:val="single" w:sz="4" w:space="0" w:color="auto"/>
              <w:right w:val="single" w:sz="4" w:space="0" w:color="auto"/>
            </w:tcBorders>
            <w:shd w:val="clear" w:color="auto" w:fill="auto"/>
            <w:noWrap/>
            <w:vAlign w:val="center"/>
            <w:hideMark/>
          </w:tcPr>
          <w:p w14:paraId="5CF9DC22" w14:textId="77777777" w:rsidR="00BA4027" w:rsidRPr="00BA4027" w:rsidRDefault="00BA4027" w:rsidP="00BA4027">
            <w:r w:rsidRPr="00BA4027">
              <w:t>$30.86</w:t>
            </w:r>
          </w:p>
        </w:tc>
        <w:tc>
          <w:tcPr>
            <w:tcW w:w="1217" w:type="dxa"/>
            <w:tcBorders>
              <w:top w:val="nil"/>
              <w:left w:val="nil"/>
              <w:bottom w:val="single" w:sz="4" w:space="0" w:color="auto"/>
              <w:right w:val="single" w:sz="4" w:space="0" w:color="auto"/>
            </w:tcBorders>
            <w:shd w:val="clear" w:color="auto" w:fill="auto"/>
            <w:noWrap/>
            <w:vAlign w:val="center"/>
            <w:hideMark/>
          </w:tcPr>
          <w:p w14:paraId="787EF231" w14:textId="77777777" w:rsidR="00BA4027" w:rsidRPr="00BA4027" w:rsidRDefault="00BA4027" w:rsidP="00BA4027">
            <w:r w:rsidRPr="00BA4027">
              <w:t>$31.88</w:t>
            </w:r>
          </w:p>
        </w:tc>
        <w:tc>
          <w:tcPr>
            <w:tcW w:w="1217" w:type="dxa"/>
            <w:tcBorders>
              <w:top w:val="nil"/>
              <w:left w:val="nil"/>
              <w:bottom w:val="single" w:sz="4" w:space="0" w:color="auto"/>
              <w:right w:val="single" w:sz="4" w:space="0" w:color="auto"/>
            </w:tcBorders>
            <w:shd w:val="clear" w:color="auto" w:fill="auto"/>
            <w:noWrap/>
            <w:vAlign w:val="center"/>
            <w:hideMark/>
          </w:tcPr>
          <w:p w14:paraId="391E4CF2" w14:textId="77777777" w:rsidR="00BA4027" w:rsidRPr="00BA4027" w:rsidRDefault="00BA4027" w:rsidP="00BA4027">
            <w:r w:rsidRPr="00BA4027">
              <w:t>$32.94</w:t>
            </w:r>
          </w:p>
        </w:tc>
        <w:tc>
          <w:tcPr>
            <w:tcW w:w="1217" w:type="dxa"/>
            <w:tcBorders>
              <w:top w:val="nil"/>
              <w:left w:val="nil"/>
              <w:bottom w:val="single" w:sz="4" w:space="0" w:color="auto"/>
              <w:right w:val="single" w:sz="4" w:space="0" w:color="auto"/>
            </w:tcBorders>
            <w:shd w:val="clear" w:color="auto" w:fill="auto"/>
            <w:noWrap/>
            <w:vAlign w:val="center"/>
            <w:hideMark/>
          </w:tcPr>
          <w:p w14:paraId="5A7A9F3A" w14:textId="77777777" w:rsidR="00BA4027" w:rsidRPr="00BA4027" w:rsidRDefault="00BA4027" w:rsidP="00BA4027">
            <w:r w:rsidRPr="00BA4027">
              <w:t>$34.03</w:t>
            </w:r>
          </w:p>
        </w:tc>
        <w:tc>
          <w:tcPr>
            <w:tcW w:w="1217" w:type="dxa"/>
            <w:tcBorders>
              <w:top w:val="nil"/>
              <w:left w:val="nil"/>
              <w:bottom w:val="single" w:sz="4" w:space="0" w:color="auto"/>
              <w:right w:val="single" w:sz="4" w:space="0" w:color="auto"/>
            </w:tcBorders>
            <w:shd w:val="clear" w:color="auto" w:fill="auto"/>
            <w:noWrap/>
            <w:vAlign w:val="center"/>
            <w:hideMark/>
          </w:tcPr>
          <w:p w14:paraId="2D3B6091" w14:textId="77777777" w:rsidR="00BA4027" w:rsidRPr="00BA4027" w:rsidRDefault="00BA4027" w:rsidP="00BA4027">
            <w:r w:rsidRPr="00BA4027">
              <w:t>$35.16</w:t>
            </w:r>
          </w:p>
        </w:tc>
        <w:tc>
          <w:tcPr>
            <w:tcW w:w="1225" w:type="dxa"/>
            <w:tcBorders>
              <w:top w:val="nil"/>
              <w:left w:val="nil"/>
              <w:bottom w:val="single" w:sz="4" w:space="0" w:color="auto"/>
              <w:right w:val="single" w:sz="8" w:space="0" w:color="auto"/>
            </w:tcBorders>
            <w:shd w:val="clear" w:color="auto" w:fill="auto"/>
            <w:noWrap/>
            <w:vAlign w:val="center"/>
            <w:hideMark/>
          </w:tcPr>
          <w:p w14:paraId="59F4751D" w14:textId="77777777" w:rsidR="00BA4027" w:rsidRPr="00BA4027" w:rsidRDefault="00BA4027" w:rsidP="00BA4027">
            <w:r w:rsidRPr="00BA4027">
              <w:t>$36.31</w:t>
            </w:r>
          </w:p>
        </w:tc>
      </w:tr>
      <w:tr w:rsidR="00BA4027" w:rsidRPr="00BA4027" w14:paraId="2733FCEF"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6578CBA3" w14:textId="77777777" w:rsidR="00BA4027" w:rsidRPr="00BA4027" w:rsidRDefault="00BA4027" w:rsidP="00BA4027">
            <w:r w:rsidRPr="00BA4027">
              <w:t>170</w:t>
            </w:r>
          </w:p>
        </w:tc>
        <w:tc>
          <w:tcPr>
            <w:tcW w:w="1783" w:type="dxa"/>
            <w:tcBorders>
              <w:top w:val="nil"/>
              <w:left w:val="nil"/>
              <w:bottom w:val="single" w:sz="4" w:space="0" w:color="auto"/>
              <w:right w:val="single" w:sz="4" w:space="0" w:color="auto"/>
            </w:tcBorders>
            <w:shd w:val="clear" w:color="auto" w:fill="auto"/>
            <w:noWrap/>
            <w:vAlign w:val="center"/>
            <w:hideMark/>
          </w:tcPr>
          <w:p w14:paraId="662923CC" w14:textId="77777777" w:rsidR="00BA4027" w:rsidRPr="00BA4027" w:rsidRDefault="00BA4027" w:rsidP="00BA4027">
            <w:r w:rsidRPr="00BA4027">
              <w:t>$29.53</w:t>
            </w:r>
          </w:p>
        </w:tc>
        <w:tc>
          <w:tcPr>
            <w:tcW w:w="1217" w:type="dxa"/>
            <w:tcBorders>
              <w:top w:val="nil"/>
              <w:left w:val="nil"/>
              <w:bottom w:val="single" w:sz="4" w:space="0" w:color="auto"/>
              <w:right w:val="single" w:sz="4" w:space="0" w:color="auto"/>
            </w:tcBorders>
            <w:shd w:val="clear" w:color="auto" w:fill="auto"/>
            <w:noWrap/>
            <w:vAlign w:val="center"/>
            <w:hideMark/>
          </w:tcPr>
          <w:p w14:paraId="534F456A" w14:textId="77777777" w:rsidR="00BA4027" w:rsidRPr="00BA4027" w:rsidRDefault="00BA4027" w:rsidP="00BA4027">
            <w:r w:rsidRPr="00BA4027">
              <w:t>$30.51</w:t>
            </w:r>
          </w:p>
        </w:tc>
        <w:tc>
          <w:tcPr>
            <w:tcW w:w="1217" w:type="dxa"/>
            <w:tcBorders>
              <w:top w:val="nil"/>
              <w:left w:val="nil"/>
              <w:bottom w:val="single" w:sz="4" w:space="0" w:color="auto"/>
              <w:right w:val="single" w:sz="4" w:space="0" w:color="auto"/>
            </w:tcBorders>
            <w:shd w:val="clear" w:color="auto" w:fill="auto"/>
            <w:noWrap/>
            <w:vAlign w:val="center"/>
            <w:hideMark/>
          </w:tcPr>
          <w:p w14:paraId="2326DA76" w14:textId="77777777" w:rsidR="00BA4027" w:rsidRPr="00BA4027" w:rsidRDefault="00BA4027" w:rsidP="00BA4027">
            <w:r w:rsidRPr="00BA4027">
              <w:t>$31.52</w:t>
            </w:r>
          </w:p>
        </w:tc>
        <w:tc>
          <w:tcPr>
            <w:tcW w:w="1217" w:type="dxa"/>
            <w:tcBorders>
              <w:top w:val="nil"/>
              <w:left w:val="nil"/>
              <w:bottom w:val="single" w:sz="4" w:space="0" w:color="auto"/>
              <w:right w:val="single" w:sz="4" w:space="0" w:color="auto"/>
            </w:tcBorders>
            <w:shd w:val="clear" w:color="auto" w:fill="auto"/>
            <w:noWrap/>
            <w:vAlign w:val="center"/>
            <w:hideMark/>
          </w:tcPr>
          <w:p w14:paraId="2497AA60" w14:textId="77777777" w:rsidR="00BA4027" w:rsidRPr="00BA4027" w:rsidRDefault="00BA4027" w:rsidP="00BA4027">
            <w:r w:rsidRPr="00BA4027">
              <w:t>$32.56</w:t>
            </w:r>
          </w:p>
        </w:tc>
        <w:tc>
          <w:tcPr>
            <w:tcW w:w="1217" w:type="dxa"/>
            <w:tcBorders>
              <w:top w:val="nil"/>
              <w:left w:val="nil"/>
              <w:bottom w:val="single" w:sz="4" w:space="0" w:color="auto"/>
              <w:right w:val="single" w:sz="4" w:space="0" w:color="auto"/>
            </w:tcBorders>
            <w:shd w:val="clear" w:color="auto" w:fill="auto"/>
            <w:noWrap/>
            <w:vAlign w:val="center"/>
            <w:hideMark/>
          </w:tcPr>
          <w:p w14:paraId="696FDF9E" w14:textId="77777777" w:rsidR="00BA4027" w:rsidRPr="00BA4027" w:rsidRDefault="00BA4027" w:rsidP="00BA4027">
            <w:r w:rsidRPr="00BA4027">
              <w:t>$33.64</w:t>
            </w:r>
          </w:p>
        </w:tc>
        <w:tc>
          <w:tcPr>
            <w:tcW w:w="1225" w:type="dxa"/>
            <w:tcBorders>
              <w:top w:val="nil"/>
              <w:left w:val="nil"/>
              <w:bottom w:val="single" w:sz="4" w:space="0" w:color="auto"/>
              <w:right w:val="single" w:sz="8" w:space="0" w:color="auto"/>
            </w:tcBorders>
            <w:shd w:val="clear" w:color="auto" w:fill="auto"/>
            <w:noWrap/>
            <w:vAlign w:val="center"/>
            <w:hideMark/>
          </w:tcPr>
          <w:p w14:paraId="03E299D4" w14:textId="77777777" w:rsidR="00BA4027" w:rsidRPr="00BA4027" w:rsidRDefault="00BA4027" w:rsidP="00BA4027">
            <w:r w:rsidRPr="00BA4027">
              <w:t>$34.74</w:t>
            </w:r>
          </w:p>
        </w:tc>
      </w:tr>
      <w:tr w:rsidR="00BA4027" w:rsidRPr="00BA4027" w14:paraId="725DCFD3"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107B2908" w14:textId="77777777" w:rsidR="00BA4027" w:rsidRPr="00BA4027" w:rsidRDefault="00BA4027" w:rsidP="00BA4027">
            <w:r w:rsidRPr="00BA4027">
              <w:t>160</w:t>
            </w:r>
          </w:p>
        </w:tc>
        <w:tc>
          <w:tcPr>
            <w:tcW w:w="1783" w:type="dxa"/>
            <w:tcBorders>
              <w:top w:val="nil"/>
              <w:left w:val="nil"/>
              <w:bottom w:val="single" w:sz="4" w:space="0" w:color="auto"/>
              <w:right w:val="single" w:sz="4" w:space="0" w:color="auto"/>
            </w:tcBorders>
            <w:shd w:val="clear" w:color="auto" w:fill="auto"/>
            <w:noWrap/>
            <w:vAlign w:val="center"/>
            <w:hideMark/>
          </w:tcPr>
          <w:p w14:paraId="5FE1C0F7" w14:textId="77777777" w:rsidR="00BA4027" w:rsidRPr="00BA4027" w:rsidRDefault="00BA4027" w:rsidP="00BA4027">
            <w:r w:rsidRPr="00BA4027">
              <w:t>$28.20</w:t>
            </w:r>
          </w:p>
        </w:tc>
        <w:tc>
          <w:tcPr>
            <w:tcW w:w="1217" w:type="dxa"/>
            <w:tcBorders>
              <w:top w:val="nil"/>
              <w:left w:val="nil"/>
              <w:bottom w:val="single" w:sz="4" w:space="0" w:color="auto"/>
              <w:right w:val="single" w:sz="4" w:space="0" w:color="auto"/>
            </w:tcBorders>
            <w:shd w:val="clear" w:color="auto" w:fill="auto"/>
            <w:noWrap/>
            <w:vAlign w:val="center"/>
            <w:hideMark/>
          </w:tcPr>
          <w:p w14:paraId="72B4B23F" w14:textId="77777777" w:rsidR="00BA4027" w:rsidRPr="00BA4027" w:rsidRDefault="00BA4027" w:rsidP="00BA4027">
            <w:r w:rsidRPr="00BA4027">
              <w:t>$29.14</w:t>
            </w:r>
          </w:p>
        </w:tc>
        <w:tc>
          <w:tcPr>
            <w:tcW w:w="1217" w:type="dxa"/>
            <w:tcBorders>
              <w:top w:val="nil"/>
              <w:left w:val="nil"/>
              <w:bottom w:val="single" w:sz="4" w:space="0" w:color="auto"/>
              <w:right w:val="single" w:sz="4" w:space="0" w:color="auto"/>
            </w:tcBorders>
            <w:shd w:val="clear" w:color="auto" w:fill="auto"/>
            <w:noWrap/>
            <w:vAlign w:val="center"/>
            <w:hideMark/>
          </w:tcPr>
          <w:p w14:paraId="19271805" w14:textId="77777777" w:rsidR="00BA4027" w:rsidRPr="00BA4027" w:rsidRDefault="00BA4027" w:rsidP="00BA4027">
            <w:r w:rsidRPr="00BA4027">
              <w:t>$30.10</w:t>
            </w:r>
          </w:p>
        </w:tc>
        <w:tc>
          <w:tcPr>
            <w:tcW w:w="1217" w:type="dxa"/>
            <w:tcBorders>
              <w:top w:val="nil"/>
              <w:left w:val="nil"/>
              <w:bottom w:val="single" w:sz="4" w:space="0" w:color="auto"/>
              <w:right w:val="single" w:sz="4" w:space="0" w:color="auto"/>
            </w:tcBorders>
            <w:shd w:val="clear" w:color="auto" w:fill="auto"/>
            <w:noWrap/>
            <w:vAlign w:val="center"/>
            <w:hideMark/>
          </w:tcPr>
          <w:p w14:paraId="0BD1387C" w14:textId="77777777" w:rsidR="00BA4027" w:rsidRPr="00BA4027" w:rsidRDefault="00BA4027" w:rsidP="00BA4027">
            <w:r w:rsidRPr="00BA4027">
              <w:t>$31.10</w:t>
            </w:r>
          </w:p>
        </w:tc>
        <w:tc>
          <w:tcPr>
            <w:tcW w:w="1217" w:type="dxa"/>
            <w:tcBorders>
              <w:top w:val="nil"/>
              <w:left w:val="nil"/>
              <w:bottom w:val="single" w:sz="4" w:space="0" w:color="auto"/>
              <w:right w:val="single" w:sz="4" w:space="0" w:color="auto"/>
            </w:tcBorders>
            <w:shd w:val="clear" w:color="auto" w:fill="auto"/>
            <w:noWrap/>
            <w:vAlign w:val="center"/>
            <w:hideMark/>
          </w:tcPr>
          <w:p w14:paraId="74709727" w14:textId="77777777" w:rsidR="00BA4027" w:rsidRPr="00BA4027" w:rsidRDefault="00BA4027" w:rsidP="00BA4027">
            <w:r w:rsidRPr="00BA4027">
              <w:t>$32.13</w:t>
            </w:r>
          </w:p>
        </w:tc>
        <w:tc>
          <w:tcPr>
            <w:tcW w:w="1225" w:type="dxa"/>
            <w:tcBorders>
              <w:top w:val="nil"/>
              <w:left w:val="nil"/>
              <w:bottom w:val="single" w:sz="4" w:space="0" w:color="auto"/>
              <w:right w:val="single" w:sz="8" w:space="0" w:color="auto"/>
            </w:tcBorders>
            <w:shd w:val="clear" w:color="auto" w:fill="auto"/>
            <w:noWrap/>
            <w:vAlign w:val="center"/>
            <w:hideMark/>
          </w:tcPr>
          <w:p w14:paraId="1E63B685" w14:textId="77777777" w:rsidR="00BA4027" w:rsidRPr="00BA4027" w:rsidRDefault="00BA4027" w:rsidP="00BA4027">
            <w:r w:rsidRPr="00BA4027">
              <w:t>$33.18</w:t>
            </w:r>
          </w:p>
        </w:tc>
      </w:tr>
      <w:tr w:rsidR="00BA4027" w:rsidRPr="00BA4027" w14:paraId="150EC3D5"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13FAC4BF" w14:textId="77777777" w:rsidR="00BA4027" w:rsidRPr="00BA4027" w:rsidRDefault="00BA4027" w:rsidP="00BA4027">
            <w:r w:rsidRPr="00BA4027">
              <w:t>160</w:t>
            </w:r>
          </w:p>
        </w:tc>
        <w:tc>
          <w:tcPr>
            <w:tcW w:w="1783" w:type="dxa"/>
            <w:tcBorders>
              <w:top w:val="nil"/>
              <w:left w:val="nil"/>
              <w:bottom w:val="single" w:sz="4" w:space="0" w:color="auto"/>
              <w:right w:val="single" w:sz="4" w:space="0" w:color="auto"/>
            </w:tcBorders>
            <w:shd w:val="clear" w:color="auto" w:fill="auto"/>
            <w:noWrap/>
            <w:vAlign w:val="center"/>
            <w:hideMark/>
          </w:tcPr>
          <w:p w14:paraId="165A86DE" w14:textId="77777777" w:rsidR="00BA4027" w:rsidRPr="00BA4027" w:rsidRDefault="00BA4027" w:rsidP="00BA4027">
            <w:r w:rsidRPr="00BA4027">
              <w:t>$28.20</w:t>
            </w:r>
          </w:p>
        </w:tc>
        <w:tc>
          <w:tcPr>
            <w:tcW w:w="1217" w:type="dxa"/>
            <w:tcBorders>
              <w:top w:val="nil"/>
              <w:left w:val="nil"/>
              <w:bottom w:val="single" w:sz="4" w:space="0" w:color="auto"/>
              <w:right w:val="single" w:sz="4" w:space="0" w:color="auto"/>
            </w:tcBorders>
            <w:shd w:val="clear" w:color="auto" w:fill="auto"/>
            <w:noWrap/>
            <w:vAlign w:val="center"/>
            <w:hideMark/>
          </w:tcPr>
          <w:p w14:paraId="29F49DF5" w14:textId="77777777" w:rsidR="00BA4027" w:rsidRPr="00BA4027" w:rsidRDefault="00BA4027" w:rsidP="00BA4027">
            <w:r w:rsidRPr="00BA4027">
              <w:t>$29.14</w:t>
            </w:r>
          </w:p>
        </w:tc>
        <w:tc>
          <w:tcPr>
            <w:tcW w:w="1217" w:type="dxa"/>
            <w:tcBorders>
              <w:top w:val="nil"/>
              <w:left w:val="nil"/>
              <w:bottom w:val="single" w:sz="4" w:space="0" w:color="auto"/>
              <w:right w:val="single" w:sz="4" w:space="0" w:color="auto"/>
            </w:tcBorders>
            <w:shd w:val="clear" w:color="auto" w:fill="auto"/>
            <w:noWrap/>
            <w:vAlign w:val="center"/>
            <w:hideMark/>
          </w:tcPr>
          <w:p w14:paraId="285C9965" w14:textId="77777777" w:rsidR="00BA4027" w:rsidRPr="00BA4027" w:rsidRDefault="00BA4027" w:rsidP="00BA4027">
            <w:r w:rsidRPr="00BA4027">
              <w:t>$30.10</w:t>
            </w:r>
          </w:p>
        </w:tc>
        <w:tc>
          <w:tcPr>
            <w:tcW w:w="1217" w:type="dxa"/>
            <w:tcBorders>
              <w:top w:val="nil"/>
              <w:left w:val="nil"/>
              <w:bottom w:val="single" w:sz="4" w:space="0" w:color="auto"/>
              <w:right w:val="single" w:sz="4" w:space="0" w:color="auto"/>
            </w:tcBorders>
            <w:shd w:val="clear" w:color="auto" w:fill="auto"/>
            <w:noWrap/>
            <w:vAlign w:val="center"/>
            <w:hideMark/>
          </w:tcPr>
          <w:p w14:paraId="037585EC" w14:textId="77777777" w:rsidR="00BA4027" w:rsidRPr="00BA4027" w:rsidRDefault="00BA4027" w:rsidP="00BA4027">
            <w:r w:rsidRPr="00BA4027">
              <w:t>$31.10</w:t>
            </w:r>
          </w:p>
        </w:tc>
        <w:tc>
          <w:tcPr>
            <w:tcW w:w="1217" w:type="dxa"/>
            <w:tcBorders>
              <w:top w:val="nil"/>
              <w:left w:val="nil"/>
              <w:bottom w:val="single" w:sz="4" w:space="0" w:color="auto"/>
              <w:right w:val="single" w:sz="4" w:space="0" w:color="auto"/>
            </w:tcBorders>
            <w:shd w:val="clear" w:color="auto" w:fill="auto"/>
            <w:noWrap/>
            <w:vAlign w:val="center"/>
            <w:hideMark/>
          </w:tcPr>
          <w:p w14:paraId="4E9F541F" w14:textId="77777777" w:rsidR="00BA4027" w:rsidRPr="00BA4027" w:rsidRDefault="00BA4027" w:rsidP="00BA4027">
            <w:r w:rsidRPr="00BA4027">
              <w:t>$32.13</w:t>
            </w:r>
          </w:p>
        </w:tc>
        <w:tc>
          <w:tcPr>
            <w:tcW w:w="1225" w:type="dxa"/>
            <w:tcBorders>
              <w:top w:val="nil"/>
              <w:left w:val="nil"/>
              <w:bottom w:val="single" w:sz="4" w:space="0" w:color="auto"/>
              <w:right w:val="single" w:sz="8" w:space="0" w:color="auto"/>
            </w:tcBorders>
            <w:shd w:val="clear" w:color="auto" w:fill="auto"/>
            <w:noWrap/>
            <w:vAlign w:val="center"/>
            <w:hideMark/>
          </w:tcPr>
          <w:p w14:paraId="516B1B9A" w14:textId="77777777" w:rsidR="00BA4027" w:rsidRPr="00BA4027" w:rsidRDefault="00BA4027" w:rsidP="00BA4027">
            <w:r w:rsidRPr="00BA4027">
              <w:t>$33.18</w:t>
            </w:r>
          </w:p>
        </w:tc>
      </w:tr>
      <w:tr w:rsidR="00BA4027" w:rsidRPr="00BA4027" w14:paraId="55955B24"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727B7088" w14:textId="77777777" w:rsidR="00BA4027" w:rsidRPr="00BA4027" w:rsidRDefault="00BA4027" w:rsidP="00BA4027">
            <w:r w:rsidRPr="00BA4027">
              <w:t>150</w:t>
            </w:r>
          </w:p>
        </w:tc>
        <w:tc>
          <w:tcPr>
            <w:tcW w:w="1783" w:type="dxa"/>
            <w:tcBorders>
              <w:top w:val="nil"/>
              <w:left w:val="nil"/>
              <w:bottom w:val="single" w:sz="4" w:space="0" w:color="auto"/>
              <w:right w:val="single" w:sz="4" w:space="0" w:color="auto"/>
            </w:tcBorders>
            <w:shd w:val="clear" w:color="auto" w:fill="auto"/>
            <w:noWrap/>
            <w:vAlign w:val="center"/>
            <w:hideMark/>
          </w:tcPr>
          <w:p w14:paraId="04990D6B" w14:textId="77777777" w:rsidR="00BA4027" w:rsidRPr="00BA4027" w:rsidRDefault="00BA4027" w:rsidP="00BA4027">
            <w:r w:rsidRPr="00BA4027">
              <w:t>$26.88</w:t>
            </w:r>
          </w:p>
        </w:tc>
        <w:tc>
          <w:tcPr>
            <w:tcW w:w="1217" w:type="dxa"/>
            <w:tcBorders>
              <w:top w:val="nil"/>
              <w:left w:val="nil"/>
              <w:bottom w:val="single" w:sz="4" w:space="0" w:color="auto"/>
              <w:right w:val="single" w:sz="4" w:space="0" w:color="auto"/>
            </w:tcBorders>
            <w:shd w:val="clear" w:color="auto" w:fill="auto"/>
            <w:noWrap/>
            <w:vAlign w:val="center"/>
            <w:hideMark/>
          </w:tcPr>
          <w:p w14:paraId="7EA466A8" w14:textId="77777777" w:rsidR="00BA4027" w:rsidRPr="00BA4027" w:rsidRDefault="00BA4027" w:rsidP="00BA4027">
            <w:r w:rsidRPr="00BA4027">
              <w:t>$27.76</w:t>
            </w:r>
          </w:p>
        </w:tc>
        <w:tc>
          <w:tcPr>
            <w:tcW w:w="1217" w:type="dxa"/>
            <w:tcBorders>
              <w:top w:val="nil"/>
              <w:left w:val="nil"/>
              <w:bottom w:val="single" w:sz="4" w:space="0" w:color="auto"/>
              <w:right w:val="single" w:sz="4" w:space="0" w:color="auto"/>
            </w:tcBorders>
            <w:shd w:val="clear" w:color="auto" w:fill="auto"/>
            <w:noWrap/>
            <w:vAlign w:val="center"/>
            <w:hideMark/>
          </w:tcPr>
          <w:p w14:paraId="0403425B" w14:textId="77777777" w:rsidR="00BA4027" w:rsidRPr="00BA4027" w:rsidRDefault="00BA4027" w:rsidP="00BA4027">
            <w:r w:rsidRPr="00BA4027">
              <w:t>$28.68</w:t>
            </w:r>
          </w:p>
        </w:tc>
        <w:tc>
          <w:tcPr>
            <w:tcW w:w="1217" w:type="dxa"/>
            <w:tcBorders>
              <w:top w:val="nil"/>
              <w:left w:val="nil"/>
              <w:bottom w:val="single" w:sz="4" w:space="0" w:color="auto"/>
              <w:right w:val="single" w:sz="4" w:space="0" w:color="auto"/>
            </w:tcBorders>
            <w:shd w:val="clear" w:color="auto" w:fill="auto"/>
            <w:noWrap/>
            <w:vAlign w:val="center"/>
            <w:hideMark/>
          </w:tcPr>
          <w:p w14:paraId="0C155256" w14:textId="77777777" w:rsidR="00BA4027" w:rsidRPr="00BA4027" w:rsidRDefault="00BA4027" w:rsidP="00BA4027">
            <w:r w:rsidRPr="00BA4027">
              <w:t>$29.63</w:t>
            </w:r>
          </w:p>
        </w:tc>
        <w:tc>
          <w:tcPr>
            <w:tcW w:w="1217" w:type="dxa"/>
            <w:tcBorders>
              <w:top w:val="nil"/>
              <w:left w:val="nil"/>
              <w:bottom w:val="single" w:sz="4" w:space="0" w:color="auto"/>
              <w:right w:val="single" w:sz="4" w:space="0" w:color="auto"/>
            </w:tcBorders>
            <w:shd w:val="clear" w:color="auto" w:fill="auto"/>
            <w:noWrap/>
            <w:vAlign w:val="center"/>
            <w:hideMark/>
          </w:tcPr>
          <w:p w14:paraId="29046657" w14:textId="77777777" w:rsidR="00BA4027" w:rsidRPr="00BA4027" w:rsidRDefault="00BA4027" w:rsidP="00BA4027">
            <w:r w:rsidRPr="00BA4027">
              <w:t>$30.61</w:t>
            </w:r>
          </w:p>
        </w:tc>
        <w:tc>
          <w:tcPr>
            <w:tcW w:w="1225" w:type="dxa"/>
            <w:tcBorders>
              <w:top w:val="nil"/>
              <w:left w:val="nil"/>
              <w:bottom w:val="single" w:sz="4" w:space="0" w:color="auto"/>
              <w:right w:val="single" w:sz="8" w:space="0" w:color="auto"/>
            </w:tcBorders>
            <w:shd w:val="clear" w:color="auto" w:fill="auto"/>
            <w:noWrap/>
            <w:vAlign w:val="center"/>
            <w:hideMark/>
          </w:tcPr>
          <w:p w14:paraId="28D6DAD1" w14:textId="77777777" w:rsidR="00BA4027" w:rsidRPr="00BA4027" w:rsidRDefault="00BA4027" w:rsidP="00BA4027">
            <w:r w:rsidRPr="00BA4027">
              <w:t>$31.62</w:t>
            </w:r>
          </w:p>
        </w:tc>
      </w:tr>
      <w:tr w:rsidR="00BA4027" w:rsidRPr="00BA4027" w14:paraId="4888B1D7"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5DD65E66" w14:textId="77777777" w:rsidR="00BA4027" w:rsidRPr="00BA4027" w:rsidRDefault="00BA4027" w:rsidP="00BA4027">
            <w:r w:rsidRPr="00BA4027">
              <w:t>140</w:t>
            </w:r>
          </w:p>
        </w:tc>
        <w:tc>
          <w:tcPr>
            <w:tcW w:w="1783" w:type="dxa"/>
            <w:tcBorders>
              <w:top w:val="nil"/>
              <w:left w:val="nil"/>
              <w:bottom w:val="single" w:sz="4" w:space="0" w:color="auto"/>
              <w:right w:val="single" w:sz="4" w:space="0" w:color="auto"/>
            </w:tcBorders>
            <w:shd w:val="clear" w:color="auto" w:fill="auto"/>
            <w:noWrap/>
            <w:vAlign w:val="center"/>
            <w:hideMark/>
          </w:tcPr>
          <w:p w14:paraId="03F06598" w14:textId="77777777" w:rsidR="00BA4027" w:rsidRPr="00BA4027" w:rsidRDefault="00BA4027" w:rsidP="00BA4027">
            <w:r w:rsidRPr="00BA4027">
              <w:t>$25.55</w:t>
            </w:r>
          </w:p>
        </w:tc>
        <w:tc>
          <w:tcPr>
            <w:tcW w:w="1217" w:type="dxa"/>
            <w:tcBorders>
              <w:top w:val="nil"/>
              <w:left w:val="nil"/>
              <w:bottom w:val="single" w:sz="4" w:space="0" w:color="auto"/>
              <w:right w:val="single" w:sz="4" w:space="0" w:color="auto"/>
            </w:tcBorders>
            <w:shd w:val="clear" w:color="auto" w:fill="auto"/>
            <w:noWrap/>
            <w:vAlign w:val="center"/>
            <w:hideMark/>
          </w:tcPr>
          <w:p w14:paraId="38763955" w14:textId="77777777" w:rsidR="00BA4027" w:rsidRPr="00BA4027" w:rsidRDefault="00BA4027" w:rsidP="00BA4027">
            <w:r w:rsidRPr="00BA4027">
              <w:t>$26.39</w:t>
            </w:r>
          </w:p>
        </w:tc>
        <w:tc>
          <w:tcPr>
            <w:tcW w:w="1217" w:type="dxa"/>
            <w:tcBorders>
              <w:top w:val="nil"/>
              <w:left w:val="nil"/>
              <w:bottom w:val="single" w:sz="4" w:space="0" w:color="auto"/>
              <w:right w:val="single" w:sz="4" w:space="0" w:color="auto"/>
            </w:tcBorders>
            <w:shd w:val="clear" w:color="auto" w:fill="auto"/>
            <w:noWrap/>
            <w:vAlign w:val="center"/>
            <w:hideMark/>
          </w:tcPr>
          <w:p w14:paraId="2A8245CD" w14:textId="77777777" w:rsidR="00BA4027" w:rsidRPr="00BA4027" w:rsidRDefault="00BA4027" w:rsidP="00BA4027">
            <w:r w:rsidRPr="00BA4027">
              <w:t>$27.27</w:t>
            </w:r>
          </w:p>
        </w:tc>
        <w:tc>
          <w:tcPr>
            <w:tcW w:w="1217" w:type="dxa"/>
            <w:tcBorders>
              <w:top w:val="nil"/>
              <w:left w:val="nil"/>
              <w:bottom w:val="single" w:sz="4" w:space="0" w:color="auto"/>
              <w:right w:val="single" w:sz="4" w:space="0" w:color="auto"/>
            </w:tcBorders>
            <w:shd w:val="clear" w:color="auto" w:fill="auto"/>
            <w:noWrap/>
            <w:vAlign w:val="center"/>
            <w:hideMark/>
          </w:tcPr>
          <w:p w14:paraId="62BC8DBB" w14:textId="77777777" w:rsidR="00BA4027" w:rsidRPr="00BA4027" w:rsidRDefault="00BA4027" w:rsidP="00BA4027">
            <w:r w:rsidRPr="00BA4027">
              <w:t>$28.17</w:t>
            </w:r>
          </w:p>
        </w:tc>
        <w:tc>
          <w:tcPr>
            <w:tcW w:w="1217" w:type="dxa"/>
            <w:tcBorders>
              <w:top w:val="nil"/>
              <w:left w:val="nil"/>
              <w:bottom w:val="single" w:sz="4" w:space="0" w:color="auto"/>
              <w:right w:val="single" w:sz="4" w:space="0" w:color="auto"/>
            </w:tcBorders>
            <w:shd w:val="clear" w:color="auto" w:fill="auto"/>
            <w:noWrap/>
            <w:vAlign w:val="center"/>
            <w:hideMark/>
          </w:tcPr>
          <w:p w14:paraId="76962AFA" w14:textId="77777777" w:rsidR="00BA4027" w:rsidRPr="00BA4027" w:rsidRDefault="00BA4027" w:rsidP="00BA4027">
            <w:r w:rsidRPr="00BA4027">
              <w:t>$29.10</w:t>
            </w:r>
          </w:p>
        </w:tc>
        <w:tc>
          <w:tcPr>
            <w:tcW w:w="1225" w:type="dxa"/>
            <w:tcBorders>
              <w:top w:val="nil"/>
              <w:left w:val="nil"/>
              <w:bottom w:val="single" w:sz="4" w:space="0" w:color="auto"/>
              <w:right w:val="single" w:sz="8" w:space="0" w:color="auto"/>
            </w:tcBorders>
            <w:shd w:val="clear" w:color="auto" w:fill="auto"/>
            <w:noWrap/>
            <w:vAlign w:val="center"/>
            <w:hideMark/>
          </w:tcPr>
          <w:p w14:paraId="79FBB62C" w14:textId="77777777" w:rsidR="00BA4027" w:rsidRPr="00BA4027" w:rsidRDefault="00BA4027" w:rsidP="00BA4027">
            <w:r w:rsidRPr="00BA4027">
              <w:t>$30.05</w:t>
            </w:r>
          </w:p>
        </w:tc>
      </w:tr>
      <w:tr w:rsidR="00BA4027" w:rsidRPr="00BA4027" w14:paraId="52717543"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3F1B68B0" w14:textId="77777777" w:rsidR="00BA4027" w:rsidRPr="00BA4027" w:rsidRDefault="00BA4027" w:rsidP="00BA4027">
            <w:r w:rsidRPr="00BA4027">
              <w:t>130</w:t>
            </w:r>
          </w:p>
        </w:tc>
        <w:tc>
          <w:tcPr>
            <w:tcW w:w="1783" w:type="dxa"/>
            <w:tcBorders>
              <w:top w:val="nil"/>
              <w:left w:val="nil"/>
              <w:bottom w:val="single" w:sz="4" w:space="0" w:color="auto"/>
              <w:right w:val="single" w:sz="4" w:space="0" w:color="auto"/>
            </w:tcBorders>
            <w:shd w:val="clear" w:color="auto" w:fill="auto"/>
            <w:noWrap/>
            <w:vAlign w:val="center"/>
            <w:hideMark/>
          </w:tcPr>
          <w:p w14:paraId="198BEAC7" w14:textId="77777777" w:rsidR="00BA4027" w:rsidRPr="00BA4027" w:rsidRDefault="00BA4027" w:rsidP="00BA4027">
            <w:r w:rsidRPr="00BA4027">
              <w:t>$24.22</w:t>
            </w:r>
          </w:p>
        </w:tc>
        <w:tc>
          <w:tcPr>
            <w:tcW w:w="1217" w:type="dxa"/>
            <w:tcBorders>
              <w:top w:val="nil"/>
              <w:left w:val="nil"/>
              <w:bottom w:val="single" w:sz="4" w:space="0" w:color="auto"/>
              <w:right w:val="single" w:sz="4" w:space="0" w:color="auto"/>
            </w:tcBorders>
            <w:shd w:val="clear" w:color="auto" w:fill="auto"/>
            <w:noWrap/>
            <w:vAlign w:val="center"/>
            <w:hideMark/>
          </w:tcPr>
          <w:p w14:paraId="27BA88AB" w14:textId="77777777" w:rsidR="00BA4027" w:rsidRPr="00BA4027" w:rsidRDefault="00BA4027" w:rsidP="00BA4027">
            <w:r w:rsidRPr="00BA4027">
              <w:t>$25.02</w:t>
            </w:r>
          </w:p>
        </w:tc>
        <w:tc>
          <w:tcPr>
            <w:tcW w:w="1217" w:type="dxa"/>
            <w:tcBorders>
              <w:top w:val="nil"/>
              <w:left w:val="nil"/>
              <w:bottom w:val="single" w:sz="4" w:space="0" w:color="auto"/>
              <w:right w:val="single" w:sz="4" w:space="0" w:color="auto"/>
            </w:tcBorders>
            <w:shd w:val="clear" w:color="auto" w:fill="auto"/>
            <w:noWrap/>
            <w:vAlign w:val="center"/>
            <w:hideMark/>
          </w:tcPr>
          <w:p w14:paraId="3A19E0B0" w14:textId="77777777" w:rsidR="00BA4027" w:rsidRPr="00BA4027" w:rsidRDefault="00BA4027" w:rsidP="00BA4027">
            <w:r w:rsidRPr="00BA4027">
              <w:t>$25.85</w:t>
            </w:r>
          </w:p>
        </w:tc>
        <w:tc>
          <w:tcPr>
            <w:tcW w:w="1217" w:type="dxa"/>
            <w:tcBorders>
              <w:top w:val="nil"/>
              <w:left w:val="nil"/>
              <w:bottom w:val="single" w:sz="4" w:space="0" w:color="auto"/>
              <w:right w:val="single" w:sz="4" w:space="0" w:color="auto"/>
            </w:tcBorders>
            <w:shd w:val="clear" w:color="auto" w:fill="auto"/>
            <w:noWrap/>
            <w:vAlign w:val="center"/>
            <w:hideMark/>
          </w:tcPr>
          <w:p w14:paraId="0DCD8E3E" w14:textId="77777777" w:rsidR="00BA4027" w:rsidRPr="00BA4027" w:rsidRDefault="00BA4027" w:rsidP="00BA4027">
            <w:r w:rsidRPr="00BA4027">
              <w:t>$26.70</w:t>
            </w:r>
          </w:p>
        </w:tc>
        <w:tc>
          <w:tcPr>
            <w:tcW w:w="1217" w:type="dxa"/>
            <w:tcBorders>
              <w:top w:val="nil"/>
              <w:left w:val="nil"/>
              <w:bottom w:val="single" w:sz="4" w:space="0" w:color="auto"/>
              <w:right w:val="single" w:sz="4" w:space="0" w:color="auto"/>
            </w:tcBorders>
            <w:shd w:val="clear" w:color="auto" w:fill="auto"/>
            <w:noWrap/>
            <w:vAlign w:val="center"/>
            <w:hideMark/>
          </w:tcPr>
          <w:p w14:paraId="21D68CE2" w14:textId="77777777" w:rsidR="00BA4027" w:rsidRPr="00BA4027" w:rsidRDefault="00BA4027" w:rsidP="00BA4027">
            <w:r w:rsidRPr="00BA4027">
              <w:t>$27.59</w:t>
            </w:r>
          </w:p>
        </w:tc>
        <w:tc>
          <w:tcPr>
            <w:tcW w:w="1225" w:type="dxa"/>
            <w:tcBorders>
              <w:top w:val="nil"/>
              <w:left w:val="nil"/>
              <w:bottom w:val="single" w:sz="4" w:space="0" w:color="auto"/>
              <w:right w:val="single" w:sz="8" w:space="0" w:color="auto"/>
            </w:tcBorders>
            <w:shd w:val="clear" w:color="auto" w:fill="auto"/>
            <w:noWrap/>
            <w:vAlign w:val="center"/>
            <w:hideMark/>
          </w:tcPr>
          <w:p w14:paraId="3EE781F5" w14:textId="77777777" w:rsidR="00BA4027" w:rsidRPr="00BA4027" w:rsidRDefault="00BA4027" w:rsidP="00BA4027">
            <w:r w:rsidRPr="00BA4027">
              <w:t>$28.49</w:t>
            </w:r>
          </w:p>
        </w:tc>
      </w:tr>
      <w:tr w:rsidR="00BA4027" w:rsidRPr="00BA4027" w14:paraId="46B25766" w14:textId="77777777" w:rsidTr="00BA4027">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65AC5C56" w14:textId="77777777" w:rsidR="00BA4027" w:rsidRPr="00BA4027" w:rsidRDefault="00BA4027" w:rsidP="00BA4027">
            <w:r w:rsidRPr="00BA4027">
              <w:t>120</w:t>
            </w:r>
          </w:p>
        </w:tc>
        <w:tc>
          <w:tcPr>
            <w:tcW w:w="1783" w:type="dxa"/>
            <w:tcBorders>
              <w:top w:val="nil"/>
              <w:left w:val="nil"/>
              <w:bottom w:val="single" w:sz="4" w:space="0" w:color="auto"/>
              <w:right w:val="single" w:sz="4" w:space="0" w:color="auto"/>
            </w:tcBorders>
            <w:shd w:val="clear" w:color="auto" w:fill="auto"/>
            <w:noWrap/>
            <w:vAlign w:val="center"/>
            <w:hideMark/>
          </w:tcPr>
          <w:p w14:paraId="205F36A5" w14:textId="77777777" w:rsidR="00BA4027" w:rsidRPr="00BA4027" w:rsidRDefault="00BA4027" w:rsidP="00BA4027">
            <w:r w:rsidRPr="00BA4027">
              <w:t>$22.89</w:t>
            </w:r>
          </w:p>
        </w:tc>
        <w:tc>
          <w:tcPr>
            <w:tcW w:w="1217" w:type="dxa"/>
            <w:tcBorders>
              <w:top w:val="nil"/>
              <w:left w:val="nil"/>
              <w:bottom w:val="single" w:sz="4" w:space="0" w:color="auto"/>
              <w:right w:val="single" w:sz="4" w:space="0" w:color="auto"/>
            </w:tcBorders>
            <w:shd w:val="clear" w:color="auto" w:fill="auto"/>
            <w:noWrap/>
            <w:vAlign w:val="center"/>
            <w:hideMark/>
          </w:tcPr>
          <w:p w14:paraId="7FC024E4" w14:textId="77777777" w:rsidR="00BA4027" w:rsidRPr="00BA4027" w:rsidRDefault="00BA4027" w:rsidP="00BA4027">
            <w:r w:rsidRPr="00BA4027">
              <w:t>$23.65</w:t>
            </w:r>
          </w:p>
        </w:tc>
        <w:tc>
          <w:tcPr>
            <w:tcW w:w="1217" w:type="dxa"/>
            <w:tcBorders>
              <w:top w:val="nil"/>
              <w:left w:val="nil"/>
              <w:bottom w:val="single" w:sz="4" w:space="0" w:color="auto"/>
              <w:right w:val="single" w:sz="4" w:space="0" w:color="auto"/>
            </w:tcBorders>
            <w:shd w:val="clear" w:color="auto" w:fill="auto"/>
            <w:noWrap/>
            <w:vAlign w:val="center"/>
            <w:hideMark/>
          </w:tcPr>
          <w:p w14:paraId="09542D93" w14:textId="77777777" w:rsidR="00BA4027" w:rsidRPr="00BA4027" w:rsidRDefault="00BA4027" w:rsidP="00BA4027">
            <w:r w:rsidRPr="00BA4027">
              <w:t>$24.43</w:t>
            </w:r>
          </w:p>
        </w:tc>
        <w:tc>
          <w:tcPr>
            <w:tcW w:w="1217" w:type="dxa"/>
            <w:tcBorders>
              <w:top w:val="nil"/>
              <w:left w:val="nil"/>
              <w:bottom w:val="single" w:sz="4" w:space="0" w:color="auto"/>
              <w:right w:val="single" w:sz="4" w:space="0" w:color="auto"/>
            </w:tcBorders>
            <w:shd w:val="clear" w:color="auto" w:fill="auto"/>
            <w:noWrap/>
            <w:vAlign w:val="center"/>
            <w:hideMark/>
          </w:tcPr>
          <w:p w14:paraId="7D6525DC" w14:textId="77777777" w:rsidR="00BA4027" w:rsidRPr="00BA4027" w:rsidRDefault="00BA4027" w:rsidP="00BA4027">
            <w:r w:rsidRPr="00BA4027">
              <w:t>$25.24</w:t>
            </w:r>
          </w:p>
        </w:tc>
        <w:tc>
          <w:tcPr>
            <w:tcW w:w="1217" w:type="dxa"/>
            <w:tcBorders>
              <w:top w:val="nil"/>
              <w:left w:val="nil"/>
              <w:bottom w:val="single" w:sz="4" w:space="0" w:color="auto"/>
              <w:right w:val="single" w:sz="4" w:space="0" w:color="auto"/>
            </w:tcBorders>
            <w:shd w:val="clear" w:color="auto" w:fill="auto"/>
            <w:noWrap/>
            <w:vAlign w:val="center"/>
            <w:hideMark/>
          </w:tcPr>
          <w:p w14:paraId="2C6A5160" w14:textId="77777777" w:rsidR="00BA4027" w:rsidRPr="00BA4027" w:rsidRDefault="00BA4027" w:rsidP="00BA4027">
            <w:r w:rsidRPr="00BA4027">
              <w:t>$26.07</w:t>
            </w:r>
          </w:p>
        </w:tc>
        <w:tc>
          <w:tcPr>
            <w:tcW w:w="1225" w:type="dxa"/>
            <w:tcBorders>
              <w:top w:val="nil"/>
              <w:left w:val="nil"/>
              <w:bottom w:val="single" w:sz="4" w:space="0" w:color="auto"/>
              <w:right w:val="single" w:sz="8" w:space="0" w:color="auto"/>
            </w:tcBorders>
            <w:shd w:val="clear" w:color="auto" w:fill="auto"/>
            <w:noWrap/>
            <w:vAlign w:val="center"/>
            <w:hideMark/>
          </w:tcPr>
          <w:p w14:paraId="05C08B72" w14:textId="77777777" w:rsidR="00BA4027" w:rsidRPr="00BA4027" w:rsidRDefault="00BA4027" w:rsidP="00BA4027">
            <w:r w:rsidRPr="00BA4027">
              <w:t>$26.93</w:t>
            </w:r>
          </w:p>
        </w:tc>
      </w:tr>
      <w:tr w:rsidR="00BA4027" w:rsidRPr="00BA4027" w14:paraId="1E342B0B" w14:textId="77777777" w:rsidTr="00AE4EE8">
        <w:trPr>
          <w:trHeight w:val="372"/>
        </w:trPr>
        <w:tc>
          <w:tcPr>
            <w:tcW w:w="1107" w:type="dxa"/>
            <w:tcBorders>
              <w:top w:val="nil"/>
              <w:left w:val="single" w:sz="8" w:space="0" w:color="auto"/>
              <w:bottom w:val="single" w:sz="4" w:space="0" w:color="auto"/>
              <w:right w:val="single" w:sz="4" w:space="0" w:color="auto"/>
            </w:tcBorders>
            <w:shd w:val="clear" w:color="auto" w:fill="auto"/>
            <w:noWrap/>
            <w:vAlign w:val="center"/>
            <w:hideMark/>
          </w:tcPr>
          <w:p w14:paraId="42CFCCBB" w14:textId="77777777" w:rsidR="00BA4027" w:rsidRPr="00BA4027" w:rsidRDefault="00BA4027" w:rsidP="00BA4027">
            <w:r w:rsidRPr="00BA4027">
              <w:t>110</w:t>
            </w:r>
          </w:p>
        </w:tc>
        <w:tc>
          <w:tcPr>
            <w:tcW w:w="1783" w:type="dxa"/>
            <w:tcBorders>
              <w:top w:val="nil"/>
              <w:left w:val="nil"/>
              <w:bottom w:val="single" w:sz="4" w:space="0" w:color="auto"/>
              <w:right w:val="single" w:sz="4" w:space="0" w:color="auto"/>
            </w:tcBorders>
            <w:shd w:val="clear" w:color="auto" w:fill="auto"/>
            <w:noWrap/>
            <w:vAlign w:val="center"/>
            <w:hideMark/>
          </w:tcPr>
          <w:p w14:paraId="38EDF242" w14:textId="77777777" w:rsidR="00BA4027" w:rsidRPr="00BA4027" w:rsidRDefault="00BA4027" w:rsidP="00BA4027">
            <w:r w:rsidRPr="00BA4027">
              <w:t>$21.56</w:t>
            </w:r>
          </w:p>
        </w:tc>
        <w:tc>
          <w:tcPr>
            <w:tcW w:w="1217" w:type="dxa"/>
            <w:tcBorders>
              <w:top w:val="nil"/>
              <w:left w:val="nil"/>
              <w:bottom w:val="single" w:sz="4" w:space="0" w:color="auto"/>
              <w:right w:val="single" w:sz="4" w:space="0" w:color="auto"/>
            </w:tcBorders>
            <w:shd w:val="clear" w:color="auto" w:fill="auto"/>
            <w:noWrap/>
            <w:vAlign w:val="center"/>
            <w:hideMark/>
          </w:tcPr>
          <w:p w14:paraId="1B739D07" w14:textId="77777777" w:rsidR="00BA4027" w:rsidRPr="00BA4027" w:rsidRDefault="00BA4027" w:rsidP="00BA4027">
            <w:r w:rsidRPr="00BA4027">
              <w:t>$22.27</w:t>
            </w:r>
          </w:p>
        </w:tc>
        <w:tc>
          <w:tcPr>
            <w:tcW w:w="1217" w:type="dxa"/>
            <w:tcBorders>
              <w:top w:val="nil"/>
              <w:left w:val="nil"/>
              <w:bottom w:val="single" w:sz="4" w:space="0" w:color="auto"/>
              <w:right w:val="single" w:sz="4" w:space="0" w:color="auto"/>
            </w:tcBorders>
            <w:shd w:val="clear" w:color="auto" w:fill="auto"/>
            <w:noWrap/>
            <w:vAlign w:val="center"/>
            <w:hideMark/>
          </w:tcPr>
          <w:p w14:paraId="3D5BE139" w14:textId="77777777" w:rsidR="00BA4027" w:rsidRPr="00BA4027" w:rsidRDefault="00BA4027" w:rsidP="00BA4027">
            <w:r w:rsidRPr="00BA4027">
              <w:t>$23.01</w:t>
            </w:r>
          </w:p>
        </w:tc>
        <w:tc>
          <w:tcPr>
            <w:tcW w:w="1217" w:type="dxa"/>
            <w:tcBorders>
              <w:top w:val="nil"/>
              <w:left w:val="nil"/>
              <w:bottom w:val="single" w:sz="4" w:space="0" w:color="auto"/>
              <w:right w:val="single" w:sz="4" w:space="0" w:color="auto"/>
            </w:tcBorders>
            <w:shd w:val="clear" w:color="auto" w:fill="auto"/>
            <w:noWrap/>
            <w:vAlign w:val="center"/>
            <w:hideMark/>
          </w:tcPr>
          <w:p w14:paraId="08DC0CB8" w14:textId="77777777" w:rsidR="00BA4027" w:rsidRPr="00BA4027" w:rsidRDefault="00BA4027" w:rsidP="00BA4027">
            <w:r w:rsidRPr="00BA4027">
              <w:t>$23.77</w:t>
            </w:r>
          </w:p>
        </w:tc>
        <w:tc>
          <w:tcPr>
            <w:tcW w:w="1217" w:type="dxa"/>
            <w:tcBorders>
              <w:top w:val="nil"/>
              <w:left w:val="nil"/>
              <w:bottom w:val="single" w:sz="4" w:space="0" w:color="auto"/>
              <w:right w:val="single" w:sz="4" w:space="0" w:color="auto"/>
            </w:tcBorders>
            <w:shd w:val="clear" w:color="auto" w:fill="auto"/>
            <w:noWrap/>
            <w:vAlign w:val="center"/>
            <w:hideMark/>
          </w:tcPr>
          <w:p w14:paraId="7CE0AD7B" w14:textId="77777777" w:rsidR="00BA4027" w:rsidRPr="00BA4027" w:rsidRDefault="00BA4027" w:rsidP="00BA4027">
            <w:r w:rsidRPr="00BA4027">
              <w:t>$24.56</w:t>
            </w:r>
          </w:p>
        </w:tc>
        <w:tc>
          <w:tcPr>
            <w:tcW w:w="1225" w:type="dxa"/>
            <w:tcBorders>
              <w:top w:val="nil"/>
              <w:left w:val="nil"/>
              <w:bottom w:val="single" w:sz="4" w:space="0" w:color="auto"/>
              <w:right w:val="single" w:sz="8" w:space="0" w:color="auto"/>
            </w:tcBorders>
            <w:shd w:val="clear" w:color="auto" w:fill="auto"/>
            <w:noWrap/>
            <w:vAlign w:val="center"/>
            <w:hideMark/>
          </w:tcPr>
          <w:p w14:paraId="526C4231" w14:textId="77777777" w:rsidR="00BA4027" w:rsidRPr="00BA4027" w:rsidRDefault="00BA4027" w:rsidP="00BA4027">
            <w:r w:rsidRPr="00BA4027">
              <w:t>$25.36</w:t>
            </w:r>
          </w:p>
        </w:tc>
      </w:tr>
      <w:tr w:rsidR="00BA4027" w:rsidRPr="00BA4027" w14:paraId="36C9682F" w14:textId="77777777" w:rsidTr="00AE4EE8">
        <w:trPr>
          <w:trHeight w:val="372"/>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40549" w14:textId="77777777" w:rsidR="00BA4027" w:rsidRPr="00BA4027" w:rsidRDefault="00BA4027" w:rsidP="00BA4027">
            <w:r w:rsidRPr="00BA4027">
              <w:t>100</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622B9583" w14:textId="77777777" w:rsidR="00BA4027" w:rsidRPr="00BA4027" w:rsidRDefault="00BA4027" w:rsidP="00BA4027">
            <w:r w:rsidRPr="00BA4027">
              <w:t>$20.23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3D13B42E" w14:textId="77777777" w:rsidR="00BA4027" w:rsidRPr="00BA4027" w:rsidRDefault="00BA4027" w:rsidP="00BA4027">
            <w:r w:rsidRPr="00BA4027">
              <w:t>$20.90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37F430A3" w14:textId="77777777" w:rsidR="00BA4027" w:rsidRPr="00BA4027" w:rsidRDefault="00BA4027" w:rsidP="00BA4027">
            <w:r w:rsidRPr="00BA4027">
              <w:t>$21.59</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DFAB495" w14:textId="77777777" w:rsidR="00BA4027" w:rsidRPr="00BA4027" w:rsidRDefault="00BA4027" w:rsidP="00BA4027">
            <w:r w:rsidRPr="00BA4027">
              <w:t>$22.31</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05EE8A08" w14:textId="77777777" w:rsidR="00BA4027" w:rsidRPr="00BA4027" w:rsidRDefault="00BA4027" w:rsidP="00BA4027">
            <w:r w:rsidRPr="00BA4027">
              <w:t>$23.04</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14:paraId="2B31F67A" w14:textId="77777777" w:rsidR="00BA4027" w:rsidRPr="00BA4027" w:rsidRDefault="00BA4027" w:rsidP="00BA4027">
            <w:r w:rsidRPr="00BA4027">
              <w:t>$23.80</w:t>
            </w:r>
          </w:p>
        </w:tc>
      </w:tr>
    </w:tbl>
    <w:p w14:paraId="76739817" w14:textId="77777777" w:rsidR="00BA4027" w:rsidRDefault="00BA4027"/>
    <w:p w14:paraId="69128980" w14:textId="6903A12F" w:rsidR="00BA4027" w:rsidRDefault="00BA4027"/>
    <w:p w14:paraId="4B4B71A6" w14:textId="57FB0A92" w:rsidR="00BA4027" w:rsidRDefault="00BA4027"/>
    <w:p w14:paraId="54D174A1" w14:textId="4B39497A" w:rsidR="00BA4027" w:rsidRDefault="00BA4027"/>
    <w:p w14:paraId="6FC4ADE6" w14:textId="411CCE25" w:rsidR="00BA4027" w:rsidRDefault="00BA4027"/>
    <w:p w14:paraId="091D4374" w14:textId="4050C2CD" w:rsidR="00BA4027" w:rsidRDefault="00BA4027"/>
    <w:p w14:paraId="754E0E8E" w14:textId="561AB13D" w:rsidR="00BA4027" w:rsidRDefault="00BA4027"/>
    <w:p w14:paraId="590E672C" w14:textId="50474F7E" w:rsidR="00BA4027" w:rsidRDefault="00BA4027"/>
    <w:p w14:paraId="5AC17368" w14:textId="345BEE5D" w:rsidR="00BA4027" w:rsidRDefault="00BA4027"/>
    <w:p w14:paraId="45D44039" w14:textId="631A0FD2" w:rsidR="00BA4027" w:rsidRDefault="00BA4027"/>
    <w:p w14:paraId="79DDE56B" w14:textId="4A40ECE0" w:rsidR="00BA4027" w:rsidRDefault="00BA4027"/>
    <w:p w14:paraId="37CC3933" w14:textId="36FB7B8A" w:rsidR="00BA4027" w:rsidRDefault="00BA4027"/>
    <w:p w14:paraId="68BF255D" w14:textId="69B2C9E6" w:rsidR="00BA4027" w:rsidRDefault="00BA4027"/>
    <w:p w14:paraId="0AF87C89" w14:textId="11313F7F" w:rsidR="00BA4027" w:rsidRDefault="00BA4027"/>
    <w:p w14:paraId="295D9639" w14:textId="2D7B65CA" w:rsidR="00BA4027" w:rsidRDefault="00BA4027"/>
    <w:p w14:paraId="71FCC415" w14:textId="75836B89" w:rsidR="00BA4027" w:rsidRDefault="00BA4027"/>
    <w:p w14:paraId="4DC1652C" w14:textId="38B100D5" w:rsidR="00BA4027" w:rsidRDefault="00BA4027"/>
    <w:p w14:paraId="7979C0CB" w14:textId="7B2BABD8" w:rsidR="00BA4027" w:rsidRDefault="00BA4027"/>
    <w:p w14:paraId="556C8576" w14:textId="355DE0E0" w:rsidR="00BA4027" w:rsidRDefault="00BA4027"/>
    <w:p w14:paraId="6D88CCDC" w14:textId="71504EA1" w:rsidR="00BA4027" w:rsidRDefault="00BA4027"/>
    <w:p w14:paraId="30E5684E" w14:textId="1DC496CA" w:rsidR="00BA4027" w:rsidRDefault="00BA4027"/>
    <w:p w14:paraId="19D972AA" w14:textId="5306FDC2" w:rsidR="00BA4027" w:rsidRDefault="00BA4027"/>
    <w:p w14:paraId="4E41E01B" w14:textId="707BF10D" w:rsidR="00BA4027" w:rsidRDefault="00BA4027"/>
    <w:p w14:paraId="5DDB671F" w14:textId="27A73974" w:rsidR="00BA4027" w:rsidRDefault="00BA4027"/>
    <w:p w14:paraId="5553D122" w14:textId="463D0CC5" w:rsidR="00BA4027" w:rsidRDefault="00BA4027"/>
    <w:p w14:paraId="2F1FC1C7" w14:textId="346571DE" w:rsidR="00BA4027" w:rsidRDefault="00BA4027"/>
    <w:p w14:paraId="32CE1DA0" w14:textId="29715AE3" w:rsidR="00BA4027" w:rsidRDefault="00BA4027"/>
    <w:p w14:paraId="7CB88570" w14:textId="12B78024" w:rsidR="00BA4027" w:rsidRDefault="00BA4027"/>
    <w:p w14:paraId="24BB92C9" w14:textId="32B07FFA" w:rsidR="00BA4027" w:rsidRDefault="00BA4027"/>
    <w:p w14:paraId="382A674C" w14:textId="4C17DF13" w:rsidR="00BA4027" w:rsidRDefault="00BA4027"/>
    <w:p w14:paraId="4AD5BD3C" w14:textId="0B7B8AD8" w:rsidR="00BA4027" w:rsidRDefault="005D7BE6">
      <w:r>
        <w:t xml:space="preserve"> </w:t>
      </w:r>
    </w:p>
    <w:p w14:paraId="052224B4" w14:textId="70C85385" w:rsidR="00BA4027" w:rsidRDefault="00BA4027">
      <w:r w:rsidRPr="00BA4027">
        <w:lastRenderedPageBreak/>
        <w:t>Typically, cities should adjust their pay grades each year to keep pace with the labor market and/or with the general economic environment and inflation. This can be accomplished by applying the approved percentage to the top of the pay schedule (maximum) rate for each pay grade and then adjusting each the steps accordingly.</w:t>
      </w:r>
    </w:p>
    <w:p w14:paraId="24BB217A" w14:textId="6C2AE1E9" w:rsidR="00BA4027" w:rsidRPr="00BA4027" w:rsidRDefault="00BA4027"/>
    <w:p w14:paraId="1E34E03B" w14:textId="4A443EF0" w:rsidR="00BA4027" w:rsidRPr="00BA4027" w:rsidRDefault="00BA4027" w:rsidP="00BA4027">
      <w:pPr>
        <w:pStyle w:val="ListParagraph"/>
        <w:numPr>
          <w:ilvl w:val="0"/>
          <w:numId w:val="4"/>
        </w:numPr>
        <w:rPr>
          <w:b/>
        </w:rPr>
      </w:pPr>
      <w:r w:rsidRPr="00BA4027">
        <w:rPr>
          <w:b/>
        </w:rPr>
        <w:t>Guidelines that show the steps taken to develop the program and ex</w:t>
      </w:r>
      <w:r>
        <w:rPr>
          <w:b/>
        </w:rPr>
        <w:t>plain the methodology followed.</w:t>
      </w:r>
    </w:p>
    <w:p w14:paraId="44527107" w14:textId="77777777" w:rsidR="00BA4027" w:rsidRDefault="00BA4027" w:rsidP="00BA4027"/>
    <w:p w14:paraId="3C60A074" w14:textId="2F4954DC" w:rsidR="00BA4027" w:rsidRDefault="00BA4027" w:rsidP="00BA4027">
      <w:r>
        <w:t>This is important to help city staff maintain the pay program going forward.</w:t>
      </w:r>
      <w:r w:rsidR="004F6892">
        <w:t xml:space="preserve"> </w:t>
      </w:r>
      <w:r>
        <w:t xml:space="preserve">The final step in establishing a new compensation plan is to create a written document describing the program strategy, methodology for arriving at the final grade structure, policies and pay practices to help communicate, administer, and maintain the city’s classification and compensation plan. </w:t>
      </w:r>
    </w:p>
    <w:p w14:paraId="7EF5FF6B" w14:textId="77777777" w:rsidR="00BA4027" w:rsidRDefault="00BA4027" w:rsidP="00BA4027"/>
    <w:p w14:paraId="60BB44F1" w14:textId="2CA685B9" w:rsidR="00BA4027" w:rsidRDefault="00BA4027" w:rsidP="00BA4027">
      <w:r>
        <w:t>Below are the important sections and sample language that could be used as a guide.</w:t>
      </w:r>
    </w:p>
    <w:p w14:paraId="0B64D045" w14:textId="74EF64F1" w:rsidR="00BA4027" w:rsidRDefault="00BA4027" w:rsidP="00BA4027"/>
    <w:p w14:paraId="1F0068C4" w14:textId="77777777" w:rsidR="00BA4027" w:rsidRDefault="00BA4027" w:rsidP="00BA4027"/>
    <w:p w14:paraId="7B8CF882" w14:textId="56CD96A3" w:rsidR="00BA4027" w:rsidRPr="00BA4027" w:rsidRDefault="00BA4027" w:rsidP="00BA4027">
      <w:pPr>
        <w:jc w:val="center"/>
        <w:rPr>
          <w:b/>
          <w:sz w:val="28"/>
          <w:szCs w:val="28"/>
        </w:rPr>
      </w:pPr>
      <w:r w:rsidRPr="00BA4027">
        <w:rPr>
          <w:b/>
          <w:sz w:val="28"/>
          <w:szCs w:val="28"/>
        </w:rPr>
        <w:t>[City’s name</w:t>
      </w:r>
      <w:r w:rsidR="005F0AB4">
        <w:rPr>
          <w:b/>
          <w:sz w:val="28"/>
          <w:szCs w:val="28"/>
        </w:rPr>
        <w:t xml:space="preserve">’s] </w:t>
      </w:r>
      <w:r w:rsidRPr="00BA4027">
        <w:rPr>
          <w:b/>
          <w:sz w:val="28"/>
          <w:szCs w:val="28"/>
        </w:rPr>
        <w:t>Total Compensation Strategy</w:t>
      </w:r>
    </w:p>
    <w:p w14:paraId="32327CEE" w14:textId="77777777" w:rsidR="00BA4027" w:rsidRDefault="00BA4027" w:rsidP="00BA4027"/>
    <w:p w14:paraId="6A269A3F" w14:textId="26603835" w:rsidR="00BA4027" w:rsidRDefault="00BA4027" w:rsidP="00BA4027">
      <w:r>
        <w:t xml:space="preserve">[City name] intends to establish, administer, maintain and regularly update an internal job evaluation hierarchy consistent with the Local Government Pay Equity Act. The city also intends to establish, administer, maintain and regularly update a compensation structure </w:t>
      </w:r>
      <w:r w:rsidR="005D7BE6">
        <w:t xml:space="preserve">covering </w:t>
      </w:r>
      <w:r>
        <w:t xml:space="preserve">all the jobs within the city and in line with the stated compensation strategy. The pay structure is reviewed regularly to ensure financial funding is available to administer the plan and that any changes in the plan are approved by the City Council. In addition, the city intends to maintain supplemental benefits (insurances, holiday /vacation schedules, etc.) </w:t>
      </w:r>
      <w:r w:rsidR="005D7BE6">
        <w:t xml:space="preserve">that meet state and federal laws and are </w:t>
      </w:r>
      <w:r>
        <w:t>competitive with the market and fit within the city’s financial budget.</w:t>
      </w:r>
    </w:p>
    <w:p w14:paraId="5291E724" w14:textId="77777777" w:rsidR="00BA4027" w:rsidRDefault="00BA4027" w:rsidP="00BA4027"/>
    <w:p w14:paraId="65F84903" w14:textId="77777777" w:rsidR="00BA4027" w:rsidRPr="00BA4027" w:rsidRDefault="00BA4027" w:rsidP="00BA4027">
      <w:pPr>
        <w:rPr>
          <w:b/>
        </w:rPr>
      </w:pPr>
      <w:r w:rsidRPr="00BA4027">
        <w:rPr>
          <w:b/>
        </w:rPr>
        <w:t>Key Objectives of the Classification and Compensation Plan</w:t>
      </w:r>
    </w:p>
    <w:p w14:paraId="0115E809" w14:textId="78A473A3" w:rsidR="00BA4027" w:rsidRDefault="00BA4027" w:rsidP="00BA4027">
      <w:pPr>
        <w:pStyle w:val="ListParagraph"/>
        <w:numPr>
          <w:ilvl w:val="0"/>
          <w:numId w:val="7"/>
        </w:numPr>
      </w:pPr>
      <w:r>
        <w:t>Attract and retain qualified employees to prov</w:t>
      </w:r>
      <w:r w:rsidR="00AE4EE8">
        <w:t>ide services to city residents.</w:t>
      </w:r>
    </w:p>
    <w:p w14:paraId="407362FB" w14:textId="54590D83" w:rsidR="00BA4027" w:rsidRDefault="00BA4027" w:rsidP="00BA4027">
      <w:pPr>
        <w:pStyle w:val="ListParagraph"/>
        <w:numPr>
          <w:ilvl w:val="0"/>
          <w:numId w:val="7"/>
        </w:numPr>
      </w:pPr>
      <w:r>
        <w:t>Maintain a plan consistent with the city’s compensation strategy; equitable and competitive.</w:t>
      </w:r>
    </w:p>
    <w:p w14:paraId="25A91C7D" w14:textId="0DA52FFE" w:rsidR="00BA4027" w:rsidRDefault="00BA4027" w:rsidP="00BA4027">
      <w:pPr>
        <w:pStyle w:val="ListParagraph"/>
        <w:numPr>
          <w:ilvl w:val="0"/>
          <w:numId w:val="7"/>
        </w:numPr>
      </w:pPr>
      <w:r>
        <w:t>Maintain a plan that is clear and easy to communicate to city employees.</w:t>
      </w:r>
    </w:p>
    <w:p w14:paraId="63B6BC87" w14:textId="1D225E67" w:rsidR="00BA4027" w:rsidRDefault="00BA4027" w:rsidP="00BA4027">
      <w:pPr>
        <w:pStyle w:val="ListParagraph"/>
        <w:numPr>
          <w:ilvl w:val="0"/>
          <w:numId w:val="7"/>
        </w:numPr>
      </w:pPr>
      <w:r>
        <w:t>Maintain compliance with the Minnesota Local Government Pay Equity Act.</w:t>
      </w:r>
    </w:p>
    <w:p w14:paraId="746B6E11" w14:textId="776846A2" w:rsidR="00BA4027" w:rsidRDefault="00BA4027" w:rsidP="00BA4027">
      <w:pPr>
        <w:pStyle w:val="ListParagraph"/>
        <w:numPr>
          <w:ilvl w:val="0"/>
          <w:numId w:val="7"/>
        </w:numPr>
      </w:pPr>
      <w:r>
        <w:t xml:space="preserve">Maintain compliance with all applicable local, State and Federal laws and regulations </w:t>
      </w:r>
      <w:r w:rsidR="005D7BE6">
        <w:t xml:space="preserve">affecting </w:t>
      </w:r>
      <w:r>
        <w:t>the plan.</w:t>
      </w:r>
    </w:p>
    <w:p w14:paraId="4F39E812" w14:textId="77777777" w:rsidR="00BA4027" w:rsidRDefault="00BA4027" w:rsidP="00BA4027"/>
    <w:p w14:paraId="586A7903" w14:textId="3F58DD98" w:rsidR="00BA4027" w:rsidRPr="00BA4027" w:rsidRDefault="00BA4027" w:rsidP="00BA4027">
      <w:pPr>
        <w:rPr>
          <w:b/>
        </w:rPr>
      </w:pPr>
      <w:r w:rsidRPr="00BA4027">
        <w:rPr>
          <w:b/>
        </w:rPr>
        <w:t>Accountability for Administration of the Plan</w:t>
      </w:r>
    </w:p>
    <w:p w14:paraId="07B1453B" w14:textId="20A1686F" w:rsidR="00BA4027" w:rsidRDefault="00BA4027" w:rsidP="005F0AB4">
      <w:pPr>
        <w:pStyle w:val="ListParagraph"/>
        <w:numPr>
          <w:ilvl w:val="0"/>
          <w:numId w:val="16"/>
        </w:numPr>
      </w:pPr>
      <w:r>
        <w:t xml:space="preserve">The City Council has the authority over the plan and must provide the final approval before the plan is implemented. </w:t>
      </w:r>
    </w:p>
    <w:p w14:paraId="36B99371" w14:textId="5EE38514" w:rsidR="00BA4027" w:rsidRDefault="00BA4027" w:rsidP="005F0AB4">
      <w:pPr>
        <w:pStyle w:val="ListParagraph"/>
        <w:numPr>
          <w:ilvl w:val="0"/>
          <w:numId w:val="16"/>
        </w:numPr>
      </w:pPr>
      <w:r>
        <w:t>The City Manager/Administrator oversees the implementation and administration of the plan as approved by the City Council.</w:t>
      </w:r>
    </w:p>
    <w:p w14:paraId="43898117" w14:textId="77777777" w:rsidR="00D630E6" w:rsidRDefault="00D630E6" w:rsidP="00BA4027"/>
    <w:p w14:paraId="085A39EF" w14:textId="733E993C" w:rsidR="00BA4027" w:rsidRPr="00D630E6" w:rsidRDefault="00BA4027" w:rsidP="00BA4027">
      <w:pPr>
        <w:rPr>
          <w:b/>
        </w:rPr>
      </w:pPr>
      <w:r w:rsidRPr="00D630E6">
        <w:rPr>
          <w:b/>
        </w:rPr>
        <w:lastRenderedPageBreak/>
        <w:t>Actions Taken to Review, Update and Maintain the Plan</w:t>
      </w:r>
    </w:p>
    <w:p w14:paraId="36BC978C" w14:textId="77777777" w:rsidR="00D630E6" w:rsidRDefault="00D630E6" w:rsidP="00BA4027"/>
    <w:p w14:paraId="086D3E2D" w14:textId="766AB234" w:rsidR="00BA4027" w:rsidRDefault="00BA4027" w:rsidP="00BA4027">
      <w:r>
        <w:t>All elements of the plan should be reviewed regularly to ensure the plan remains consistent with the city’s total compensation strategy. Actions may be taken:</w:t>
      </w:r>
    </w:p>
    <w:p w14:paraId="7C50281A" w14:textId="77777777" w:rsidR="00D630E6" w:rsidRDefault="00D630E6" w:rsidP="00BA4027"/>
    <w:p w14:paraId="61F6E83D" w14:textId="764370BE" w:rsidR="00BA4027" w:rsidRDefault="00BA4027" w:rsidP="00D630E6">
      <w:pPr>
        <w:pStyle w:val="ListParagraph"/>
        <w:numPr>
          <w:ilvl w:val="0"/>
          <w:numId w:val="9"/>
        </w:numPr>
      </w:pPr>
      <w:r>
        <w:t xml:space="preserve">Review and update job descriptions to ensure they are </w:t>
      </w:r>
      <w:r w:rsidR="005D7BE6">
        <w:t>current,</w:t>
      </w:r>
      <w:r>
        <w:t xml:space="preserve"> and representative of the work employees are performing on the job. This is especially important when jobs are restructured, or significant duties have changed.</w:t>
      </w:r>
    </w:p>
    <w:p w14:paraId="72D99D83" w14:textId="77777777" w:rsidR="00D630E6" w:rsidRDefault="00D630E6" w:rsidP="00D630E6">
      <w:pPr>
        <w:ind w:left="360"/>
      </w:pPr>
    </w:p>
    <w:p w14:paraId="58384639" w14:textId="28DAB897" w:rsidR="00BA4027" w:rsidRDefault="00BA4027" w:rsidP="00D630E6">
      <w:pPr>
        <w:pStyle w:val="ListParagraph"/>
        <w:numPr>
          <w:ilvl w:val="0"/>
          <w:numId w:val="9"/>
        </w:numPr>
      </w:pPr>
      <w:r>
        <w:t>Review job evaluations when jobs have changed significantly. Evaluation requests are typically initiated by the business area manager and are administered by an internal evaluation committee or an external resource as appropriate.</w:t>
      </w:r>
    </w:p>
    <w:p w14:paraId="74F8BA12" w14:textId="77777777" w:rsidR="00D630E6" w:rsidRDefault="00D630E6" w:rsidP="00D630E6">
      <w:pPr>
        <w:pStyle w:val="ListParagraph"/>
      </w:pPr>
    </w:p>
    <w:p w14:paraId="01EADF4A" w14:textId="5F2D33DE" w:rsidR="00BA4027" w:rsidRDefault="00BA4027" w:rsidP="00D630E6">
      <w:pPr>
        <w:pStyle w:val="ListParagraph"/>
        <w:numPr>
          <w:ilvl w:val="0"/>
          <w:numId w:val="9"/>
        </w:numPr>
      </w:pPr>
      <w:r>
        <w:t>Confirm that cities in the peer group are still appropriate and meet the established criteria.</w:t>
      </w:r>
    </w:p>
    <w:p w14:paraId="15111C91" w14:textId="77777777" w:rsidR="00D630E6" w:rsidRDefault="00D630E6" w:rsidP="00D630E6">
      <w:pPr>
        <w:ind w:left="360"/>
      </w:pPr>
    </w:p>
    <w:p w14:paraId="2A84C08C" w14:textId="07093A0E" w:rsidR="00BA4027" w:rsidRDefault="00BA4027" w:rsidP="00D630E6">
      <w:pPr>
        <w:pStyle w:val="ListParagraph"/>
        <w:numPr>
          <w:ilvl w:val="0"/>
          <w:numId w:val="9"/>
        </w:numPr>
      </w:pPr>
      <w:r>
        <w:t>Review market survey data collected from peer group cities and look closely at the quality of job matche</w:t>
      </w:r>
      <w:r w:rsidR="00D630E6">
        <w:t>s.</w:t>
      </w:r>
    </w:p>
    <w:p w14:paraId="0620A6BD" w14:textId="77777777" w:rsidR="00D630E6" w:rsidRDefault="00D630E6" w:rsidP="00D630E6">
      <w:pPr>
        <w:pStyle w:val="ListParagraph"/>
      </w:pPr>
    </w:p>
    <w:p w14:paraId="41DB8A36" w14:textId="1B76461C" w:rsidR="00BA4027" w:rsidRDefault="00BA4027" w:rsidP="00D630E6">
      <w:pPr>
        <w:pStyle w:val="ListParagraph"/>
        <w:numPr>
          <w:ilvl w:val="0"/>
          <w:numId w:val="9"/>
        </w:numPr>
      </w:pPr>
      <w:r>
        <w:t>Review base pay structure based on current market survey data to ensure that structure comparison with the market is consistent with the stated compensation strategy. Wage structures are typically updated annually based on market trends for cost of labor while ensuring that they remain within the available city budget.</w:t>
      </w:r>
    </w:p>
    <w:p w14:paraId="134F08FB" w14:textId="77777777" w:rsidR="00D630E6" w:rsidRDefault="00D630E6" w:rsidP="00D630E6">
      <w:pPr>
        <w:pStyle w:val="ListParagraph"/>
      </w:pPr>
    </w:p>
    <w:p w14:paraId="0232CF07" w14:textId="77777777" w:rsidR="00D630E6" w:rsidRDefault="00BA4027" w:rsidP="00D630E6">
      <w:pPr>
        <w:pStyle w:val="ListParagraph"/>
        <w:numPr>
          <w:ilvl w:val="0"/>
          <w:numId w:val="9"/>
        </w:numPr>
      </w:pPr>
      <w:r>
        <w:t>Conduct a compliance test well ahead of the required date to avoid last minute fire drills.</w:t>
      </w:r>
    </w:p>
    <w:p w14:paraId="023162AC" w14:textId="77777777" w:rsidR="00D630E6" w:rsidRDefault="00D630E6" w:rsidP="00D630E6">
      <w:pPr>
        <w:pStyle w:val="ListParagraph"/>
      </w:pPr>
    </w:p>
    <w:p w14:paraId="158C43F1" w14:textId="7E10DDD0" w:rsidR="005017FD" w:rsidRDefault="00BA4027" w:rsidP="005017FD">
      <w:pPr>
        <w:pStyle w:val="ListParagraph"/>
        <w:numPr>
          <w:ilvl w:val="0"/>
          <w:numId w:val="9"/>
        </w:numPr>
      </w:pPr>
      <w:r>
        <w:t>When necessary, review the city’s benefits offerings to ensure they remain competitive with the relevant market and meet the needs of employees’ changing demographics.</w:t>
      </w:r>
    </w:p>
    <w:sectPr w:rsidR="005017FD" w:rsidSect="001B30D5">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809E" w14:textId="77777777" w:rsidR="005017FD" w:rsidRDefault="005017FD" w:rsidP="007A4845">
      <w:r>
        <w:separator/>
      </w:r>
    </w:p>
  </w:endnote>
  <w:endnote w:type="continuationSeparator" w:id="0">
    <w:p w14:paraId="51CEA95A" w14:textId="77777777" w:rsidR="005017FD" w:rsidRDefault="005017FD"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4443" w14:textId="57351701" w:rsidR="005017FD" w:rsidRPr="00706A8A" w:rsidRDefault="005017FD" w:rsidP="00901CF5">
    <w:pPr>
      <w:tabs>
        <w:tab w:val="right" w:pos="1197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Form:</w:t>
    </w:r>
    <w:r>
      <w:rPr>
        <w:rFonts w:ascii="Arial" w:eastAsia="Arial" w:hAnsi="Arial" w:cs="Arial"/>
        <w:sz w:val="15"/>
        <w:szCs w:val="15"/>
      </w:rPr>
      <w:tab/>
    </w:r>
    <w:sdt>
      <w:sdtPr>
        <w:rPr>
          <w:rFonts w:ascii="Arial" w:eastAsia="Arial" w:hAnsi="Arial" w:cs="Arial"/>
          <w:sz w:val="15"/>
          <w:szCs w:val="15"/>
        </w:rPr>
        <w:alias w:val="Date"/>
        <w:tag w:val="Date"/>
        <w:id w:val="-1794050930"/>
        <w:date w:fullDate="2024-01-04T00:00:00Z">
          <w:dateFormat w:val="M/d/yyyy"/>
          <w:lid w:val="en-US"/>
          <w:storeMappedDataAs w:val="dateTime"/>
          <w:calendar w:val="gregorian"/>
        </w:date>
      </w:sdtPr>
      <w:sdtEndPr/>
      <w:sdtContent>
        <w:r w:rsidR="007E5DD3">
          <w:rPr>
            <w:rFonts w:ascii="Arial" w:eastAsia="Arial" w:hAnsi="Arial" w:cs="Arial"/>
            <w:sz w:val="15"/>
            <w:szCs w:val="15"/>
          </w:rPr>
          <w:t>1/4/2024</w:t>
        </w:r>
      </w:sdtContent>
    </w:sdt>
  </w:p>
  <w:p w14:paraId="2B6A7F87" w14:textId="6BE6726F" w:rsidR="005017FD" w:rsidRPr="001624F8" w:rsidRDefault="00B149DF" w:rsidP="00901CF5">
    <w:pPr>
      <w:tabs>
        <w:tab w:val="right" w:pos="1197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5017FD">
          <w:rPr>
            <w:rFonts w:ascii="Arial" w:eastAsia="Arial" w:hAnsi="Arial" w:cs="Arial"/>
            <w:sz w:val="15"/>
            <w:szCs w:val="15"/>
          </w:rPr>
          <w:t>Classification and Compensation Plan Framework for Smaller Cities</w:t>
        </w:r>
      </w:sdtContent>
    </w:sdt>
    <w:r w:rsidR="005017FD" w:rsidRPr="001624F8">
      <w:rPr>
        <w:rFonts w:ascii="Arial" w:eastAsia="Arial" w:hAnsi="Arial" w:cs="Arial"/>
        <w:sz w:val="15"/>
        <w:szCs w:val="15"/>
      </w:rPr>
      <w:tab/>
    </w:r>
    <w:r w:rsidR="005017FD" w:rsidRPr="00706A8A">
      <w:rPr>
        <w:rFonts w:ascii="Arial" w:eastAsia="Arial" w:hAnsi="Arial" w:cs="Arial"/>
        <w:sz w:val="15"/>
        <w:szCs w:val="15"/>
      </w:rPr>
      <w:t>Page</w:t>
    </w:r>
    <w:r w:rsidR="005017FD" w:rsidRPr="001624F8">
      <w:rPr>
        <w:rFonts w:ascii="Arial" w:eastAsia="Arial" w:hAnsi="Arial" w:cs="Arial"/>
        <w:sz w:val="15"/>
        <w:szCs w:val="15"/>
      </w:rPr>
      <w:t xml:space="preserve"> </w:t>
    </w:r>
    <w:r w:rsidR="005017FD" w:rsidRPr="001624F8">
      <w:rPr>
        <w:rFonts w:ascii="Arial" w:eastAsia="Arial" w:hAnsi="Arial" w:cs="Arial"/>
        <w:sz w:val="15"/>
        <w:szCs w:val="15"/>
      </w:rPr>
      <w:fldChar w:fldCharType="begin"/>
    </w:r>
    <w:r w:rsidR="005017FD" w:rsidRPr="001624F8">
      <w:rPr>
        <w:rFonts w:ascii="Arial" w:eastAsia="Arial" w:hAnsi="Arial" w:cs="Arial"/>
        <w:sz w:val="15"/>
        <w:szCs w:val="15"/>
      </w:rPr>
      <w:instrText xml:space="preserve"> PAGE   \* MERGEFORMAT </w:instrText>
    </w:r>
    <w:r w:rsidR="005017FD" w:rsidRPr="001624F8">
      <w:rPr>
        <w:rFonts w:ascii="Arial" w:eastAsia="Arial" w:hAnsi="Arial" w:cs="Arial"/>
        <w:sz w:val="15"/>
        <w:szCs w:val="15"/>
      </w:rPr>
      <w:fldChar w:fldCharType="separate"/>
    </w:r>
    <w:r w:rsidR="005F0AB4">
      <w:rPr>
        <w:rFonts w:ascii="Arial" w:eastAsia="Arial" w:hAnsi="Arial" w:cs="Arial"/>
        <w:noProof/>
        <w:sz w:val="15"/>
        <w:szCs w:val="15"/>
      </w:rPr>
      <w:t>2</w:t>
    </w:r>
    <w:r w:rsidR="005017FD"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57AD" w14:textId="77777777" w:rsidR="005017FD" w:rsidRDefault="005017FD" w:rsidP="007A4845">
      <w:r>
        <w:separator/>
      </w:r>
    </w:p>
  </w:footnote>
  <w:footnote w:type="continuationSeparator" w:id="0">
    <w:p w14:paraId="2ADF5F4C" w14:textId="77777777" w:rsidR="005017FD" w:rsidRDefault="005017FD"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0254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23BBA"/>
    <w:multiLevelType w:val="hybridMultilevel"/>
    <w:tmpl w:val="2F16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01C4F"/>
    <w:multiLevelType w:val="hybridMultilevel"/>
    <w:tmpl w:val="575C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D4116"/>
    <w:multiLevelType w:val="hybridMultilevel"/>
    <w:tmpl w:val="63E6D3A6"/>
    <w:lvl w:ilvl="0" w:tplc="44E0A7DC">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563"/>
    <w:multiLevelType w:val="hybridMultilevel"/>
    <w:tmpl w:val="0B0ADA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F1126"/>
    <w:multiLevelType w:val="hybridMultilevel"/>
    <w:tmpl w:val="3A90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378AC"/>
    <w:multiLevelType w:val="hybridMultilevel"/>
    <w:tmpl w:val="839458C6"/>
    <w:lvl w:ilvl="0" w:tplc="04090019">
      <w:start w:val="1"/>
      <w:numFmt w:val="lowerLetter"/>
      <w:lvlText w:val="%1."/>
      <w:lvlJc w:val="left"/>
      <w:pPr>
        <w:ind w:left="720" w:hanging="360"/>
      </w:pPr>
    </w:lvl>
    <w:lvl w:ilvl="1" w:tplc="FBEC107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64CD8"/>
    <w:multiLevelType w:val="hybridMultilevel"/>
    <w:tmpl w:val="A2BC8120"/>
    <w:lvl w:ilvl="0" w:tplc="8E1EA72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A6D04"/>
    <w:multiLevelType w:val="hybridMultilevel"/>
    <w:tmpl w:val="E5BE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32531"/>
    <w:multiLevelType w:val="hybridMultilevel"/>
    <w:tmpl w:val="E8DCDB50"/>
    <w:lvl w:ilvl="0" w:tplc="8F260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D758CF"/>
    <w:multiLevelType w:val="hybridMultilevel"/>
    <w:tmpl w:val="61F46868"/>
    <w:lvl w:ilvl="0" w:tplc="10E44E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21076"/>
    <w:multiLevelType w:val="hybridMultilevel"/>
    <w:tmpl w:val="5E04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B7A8B"/>
    <w:multiLevelType w:val="hybridMultilevel"/>
    <w:tmpl w:val="18C8FA8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056D8"/>
    <w:multiLevelType w:val="hybridMultilevel"/>
    <w:tmpl w:val="C41C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A4B2D"/>
    <w:multiLevelType w:val="hybridMultilevel"/>
    <w:tmpl w:val="6A1A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427964183">
    <w:abstractNumId w:val="15"/>
  </w:num>
  <w:num w:numId="2" w16cid:durableId="1564439908">
    <w:abstractNumId w:val="0"/>
  </w:num>
  <w:num w:numId="3" w16cid:durableId="1948267908">
    <w:abstractNumId w:val="11"/>
  </w:num>
  <w:num w:numId="4" w16cid:durableId="261576343">
    <w:abstractNumId w:val="10"/>
  </w:num>
  <w:num w:numId="5" w16cid:durableId="1317223616">
    <w:abstractNumId w:val="6"/>
  </w:num>
  <w:num w:numId="6" w16cid:durableId="429082799">
    <w:abstractNumId w:val="4"/>
  </w:num>
  <w:num w:numId="7" w16cid:durableId="313989210">
    <w:abstractNumId w:val="5"/>
  </w:num>
  <w:num w:numId="8" w16cid:durableId="338120979">
    <w:abstractNumId w:val="7"/>
  </w:num>
  <w:num w:numId="9" w16cid:durableId="1536961356">
    <w:abstractNumId w:val="9"/>
  </w:num>
  <w:num w:numId="10" w16cid:durableId="1675035577">
    <w:abstractNumId w:val="8"/>
  </w:num>
  <w:num w:numId="11" w16cid:durableId="1187251441">
    <w:abstractNumId w:val="1"/>
  </w:num>
  <w:num w:numId="12" w16cid:durableId="1315185295">
    <w:abstractNumId w:val="2"/>
  </w:num>
  <w:num w:numId="13" w16cid:durableId="804545585">
    <w:abstractNumId w:val="3"/>
  </w:num>
  <w:num w:numId="14" w16cid:durableId="1121463108">
    <w:abstractNumId w:val="14"/>
  </w:num>
  <w:num w:numId="15" w16cid:durableId="14625618">
    <w:abstractNumId w:val="12"/>
  </w:num>
  <w:num w:numId="16" w16cid:durableId="756289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9A"/>
    <w:rsid w:val="00003DF6"/>
    <w:rsid w:val="00022EDC"/>
    <w:rsid w:val="00054C74"/>
    <w:rsid w:val="00096BF2"/>
    <w:rsid w:val="000A44C6"/>
    <w:rsid w:val="000A4CB5"/>
    <w:rsid w:val="001305D5"/>
    <w:rsid w:val="001624F8"/>
    <w:rsid w:val="001823FD"/>
    <w:rsid w:val="001B30D5"/>
    <w:rsid w:val="001D122C"/>
    <w:rsid w:val="002342E4"/>
    <w:rsid w:val="002B7184"/>
    <w:rsid w:val="003001DF"/>
    <w:rsid w:val="00307F09"/>
    <w:rsid w:val="00311244"/>
    <w:rsid w:val="003D5E54"/>
    <w:rsid w:val="003F263E"/>
    <w:rsid w:val="0045419D"/>
    <w:rsid w:val="004A7267"/>
    <w:rsid w:val="004B052B"/>
    <w:rsid w:val="004B14EC"/>
    <w:rsid w:val="004B6F0D"/>
    <w:rsid w:val="004C053D"/>
    <w:rsid w:val="004D15F2"/>
    <w:rsid w:val="004D219A"/>
    <w:rsid w:val="004E48AA"/>
    <w:rsid w:val="004F6892"/>
    <w:rsid w:val="005017FD"/>
    <w:rsid w:val="00545D83"/>
    <w:rsid w:val="0056674B"/>
    <w:rsid w:val="005815D8"/>
    <w:rsid w:val="00594A11"/>
    <w:rsid w:val="005A57D6"/>
    <w:rsid w:val="005A714E"/>
    <w:rsid w:val="005D63A9"/>
    <w:rsid w:val="005D7BE6"/>
    <w:rsid w:val="005F0AB4"/>
    <w:rsid w:val="006238D5"/>
    <w:rsid w:val="00675C25"/>
    <w:rsid w:val="00683862"/>
    <w:rsid w:val="006C28AE"/>
    <w:rsid w:val="006C775E"/>
    <w:rsid w:val="006D5E6C"/>
    <w:rsid w:val="0070334F"/>
    <w:rsid w:val="00706A8A"/>
    <w:rsid w:val="00742D35"/>
    <w:rsid w:val="007A4845"/>
    <w:rsid w:val="007B383C"/>
    <w:rsid w:val="007C3E3F"/>
    <w:rsid w:val="007C632C"/>
    <w:rsid w:val="007D7065"/>
    <w:rsid w:val="007E5DD3"/>
    <w:rsid w:val="007F32FF"/>
    <w:rsid w:val="007F7B36"/>
    <w:rsid w:val="008108BA"/>
    <w:rsid w:val="00883456"/>
    <w:rsid w:val="00894C98"/>
    <w:rsid w:val="008C76A4"/>
    <w:rsid w:val="008F4217"/>
    <w:rsid w:val="0090122E"/>
    <w:rsid w:val="00901CF5"/>
    <w:rsid w:val="009662D2"/>
    <w:rsid w:val="00970833"/>
    <w:rsid w:val="009D2855"/>
    <w:rsid w:val="009F563E"/>
    <w:rsid w:val="00A4372B"/>
    <w:rsid w:val="00A57558"/>
    <w:rsid w:val="00A7475B"/>
    <w:rsid w:val="00A75C11"/>
    <w:rsid w:val="00A95BC2"/>
    <w:rsid w:val="00AB4045"/>
    <w:rsid w:val="00AC3A12"/>
    <w:rsid w:val="00AC4992"/>
    <w:rsid w:val="00AE0A12"/>
    <w:rsid w:val="00AE4EE8"/>
    <w:rsid w:val="00B149DF"/>
    <w:rsid w:val="00B16E84"/>
    <w:rsid w:val="00B84FCE"/>
    <w:rsid w:val="00BA4027"/>
    <w:rsid w:val="00BA4642"/>
    <w:rsid w:val="00BA7387"/>
    <w:rsid w:val="00BB4064"/>
    <w:rsid w:val="00BC3822"/>
    <w:rsid w:val="00C73970"/>
    <w:rsid w:val="00CA61E3"/>
    <w:rsid w:val="00CC2ED6"/>
    <w:rsid w:val="00D14EE2"/>
    <w:rsid w:val="00D630E6"/>
    <w:rsid w:val="00DA35B9"/>
    <w:rsid w:val="00DC1127"/>
    <w:rsid w:val="00DE1A94"/>
    <w:rsid w:val="00DE6282"/>
    <w:rsid w:val="00E123CC"/>
    <w:rsid w:val="00E41EF7"/>
    <w:rsid w:val="00E63EAC"/>
    <w:rsid w:val="00E97E08"/>
    <w:rsid w:val="00EB5E53"/>
    <w:rsid w:val="00ED1418"/>
    <w:rsid w:val="00F21888"/>
    <w:rsid w:val="00F57B4F"/>
    <w:rsid w:val="00F8393B"/>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15F5DE"/>
  <w15:chartTrackingRefBased/>
  <w15:docId w15:val="{70AA7A2C-F644-4A32-BB68-3B45571E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ED1418"/>
    <w:rPr>
      <w:color w:val="0000FF" w:themeColor="hyperlink"/>
      <w:u w:val="single"/>
    </w:rPr>
  </w:style>
  <w:style w:type="character" w:styleId="Mention">
    <w:name w:val="Mention"/>
    <w:basedOn w:val="DefaultParagraphFont"/>
    <w:uiPriority w:val="99"/>
    <w:semiHidden/>
    <w:unhideWhenUsed/>
    <w:rsid w:val="00ED1418"/>
    <w:rPr>
      <w:color w:val="2B579A"/>
      <w:shd w:val="clear" w:color="auto" w:fill="E6E6E6"/>
    </w:rPr>
  </w:style>
  <w:style w:type="table" w:styleId="TableGrid">
    <w:name w:val="Table Grid"/>
    <w:basedOn w:val="TableNormal"/>
    <w:rsid w:val="00ED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219A"/>
    <w:rPr>
      <w:color w:val="808080"/>
      <w:shd w:val="clear" w:color="auto" w:fill="E6E6E6"/>
    </w:rPr>
  </w:style>
  <w:style w:type="paragraph" w:styleId="ListParagraph">
    <w:name w:val="List Paragraph"/>
    <w:basedOn w:val="Normal"/>
    <w:uiPriority w:val="34"/>
    <w:rsid w:val="0090122E"/>
    <w:pPr>
      <w:ind w:left="720"/>
      <w:contextualSpacing/>
    </w:pPr>
  </w:style>
  <w:style w:type="character" w:styleId="CommentReference">
    <w:name w:val="annotation reference"/>
    <w:basedOn w:val="DefaultParagraphFont"/>
    <w:uiPriority w:val="99"/>
    <w:semiHidden/>
    <w:unhideWhenUsed/>
    <w:rsid w:val="0090122E"/>
    <w:rPr>
      <w:sz w:val="16"/>
      <w:szCs w:val="16"/>
    </w:rPr>
  </w:style>
  <w:style w:type="paragraph" w:styleId="CommentText">
    <w:name w:val="annotation text"/>
    <w:basedOn w:val="Normal"/>
    <w:link w:val="CommentTextChar"/>
    <w:uiPriority w:val="99"/>
    <w:semiHidden/>
    <w:unhideWhenUsed/>
    <w:rsid w:val="0090122E"/>
    <w:rPr>
      <w:sz w:val="20"/>
      <w:szCs w:val="20"/>
    </w:rPr>
  </w:style>
  <w:style w:type="character" w:customStyle="1" w:styleId="CommentTextChar">
    <w:name w:val="Comment Text Char"/>
    <w:basedOn w:val="DefaultParagraphFont"/>
    <w:link w:val="CommentText"/>
    <w:uiPriority w:val="99"/>
    <w:semiHidden/>
    <w:rsid w:val="0090122E"/>
  </w:style>
  <w:style w:type="paragraph" w:styleId="CommentSubject">
    <w:name w:val="annotation subject"/>
    <w:basedOn w:val="CommentText"/>
    <w:next w:val="CommentText"/>
    <w:link w:val="CommentSubjectChar"/>
    <w:uiPriority w:val="99"/>
    <w:semiHidden/>
    <w:unhideWhenUsed/>
    <w:rsid w:val="0090122E"/>
    <w:rPr>
      <w:b/>
      <w:bCs/>
    </w:rPr>
  </w:style>
  <w:style w:type="character" w:customStyle="1" w:styleId="CommentSubjectChar">
    <w:name w:val="Comment Subject Char"/>
    <w:basedOn w:val="CommentTextChar"/>
    <w:link w:val="CommentSubject"/>
    <w:uiPriority w:val="99"/>
    <w:semiHidden/>
    <w:rsid w:val="0090122E"/>
    <w:rPr>
      <w:b/>
      <w:bCs/>
    </w:rPr>
  </w:style>
  <w:style w:type="paragraph" w:styleId="BalloonText">
    <w:name w:val="Balloon Text"/>
    <w:basedOn w:val="Normal"/>
    <w:link w:val="BalloonTextChar"/>
    <w:uiPriority w:val="99"/>
    <w:semiHidden/>
    <w:unhideWhenUsed/>
    <w:rsid w:val="00901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22E"/>
    <w:rPr>
      <w:rFonts w:ascii="Segoe UI" w:hAnsi="Segoe UI" w:cs="Segoe UI"/>
      <w:sz w:val="18"/>
      <w:szCs w:val="18"/>
    </w:rPr>
  </w:style>
  <w:style w:type="paragraph" w:styleId="Revision">
    <w:name w:val="Revision"/>
    <w:hidden/>
    <w:uiPriority w:val="99"/>
    <w:semiHidden/>
    <w:rsid w:val="007E5D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local-government-pay-equity-ac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hr-reference-manual-chapter-4-compensation/" TargetMode="External"/><Relationship Id="rId12" Type="http://schemas.openxmlformats.org/officeDocument/2006/relationships/hyperlink" Target="https://www.lmc.org/resources/salary-benefits-survey-information-and-log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n.gov/mmb-stat/pay-equity/2009-state-job-match-final.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lmc.org/wp-content/uploads/documents/Job-Description.docx" TargetMode="External"/><Relationship Id="rId4" Type="http://schemas.openxmlformats.org/officeDocument/2006/relationships/webSettings" Target="webSettings.xml"/><Relationship Id="rId9" Type="http://schemas.openxmlformats.org/officeDocument/2006/relationships/hyperlink" Target="https://www.lmc.org/resources/hr-reference-manual-chapter-4-compensa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mc-file1\public\League%20Info\Office\Templates-Workgroup\Pub\Model%20Form%20Landscap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BF242FD1024225A7D1725A3D9653AA"/>
        <w:category>
          <w:name w:val="General"/>
          <w:gallery w:val="placeholder"/>
        </w:category>
        <w:types>
          <w:type w:val="bbPlcHdr"/>
        </w:types>
        <w:behaviors>
          <w:behavior w:val="content"/>
        </w:behaviors>
        <w:guid w:val="{8B63200F-0096-4964-A9FB-0DE7EDCC32DC}"/>
      </w:docPartPr>
      <w:docPartBody>
        <w:p w:rsidR="0021090C" w:rsidRDefault="0021090C">
          <w:pPr>
            <w:pStyle w:val="8BBF242FD1024225A7D1725A3D9653AA"/>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0C"/>
    <w:rsid w:val="0021090C"/>
    <w:rsid w:val="009F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BF242FD1024225A7D1725A3D9653AA">
    <w:name w:val="8BBF242FD1024225A7D1725A3D965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Form Landscape</Template>
  <TotalTime>91</TotalTime>
  <Pages>11</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Classification and Compensation Plan Framework for Smaller Cities</vt:lpstr>
    </vt:vector>
  </TitlesOfParts>
  <Company>League of Minnesota Cities</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and Compensation Plan Framework for Smaller Cities</dc:title>
  <dc:subject/>
  <dc:creator>League of Minnesota Cities</dc:creator>
  <cp:keywords/>
  <dc:description/>
  <cp:lastModifiedBy>Franklin, Jammie</cp:lastModifiedBy>
  <cp:revision>6</cp:revision>
  <dcterms:created xsi:type="dcterms:W3CDTF">2024-01-04T17:59:00Z</dcterms:created>
  <dcterms:modified xsi:type="dcterms:W3CDTF">2024-01-04T19:54:00Z</dcterms:modified>
</cp:coreProperties>
</file>