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25F4" w14:textId="77777777" w:rsidR="00BC343F" w:rsidRDefault="00BC343F" w:rsidP="00BC343F">
      <w:pPr>
        <w:pStyle w:val="Header"/>
        <w:spacing w:before="60" w:after="60"/>
        <w:ind w:left="-990" w:right="-540"/>
        <w:jc w:val="center"/>
        <w:rPr>
          <w:b/>
          <w:sz w:val="36"/>
          <w:szCs w:val="36"/>
        </w:rPr>
      </w:pPr>
      <w:r w:rsidRPr="005B421C">
        <w:rPr>
          <w:b/>
          <w:sz w:val="36"/>
          <w:szCs w:val="36"/>
        </w:rPr>
        <w:t xml:space="preserve">LMCIT Bond Coverage </w:t>
      </w:r>
    </w:p>
    <w:p w14:paraId="3239CD9F" w14:textId="77777777" w:rsidR="00BC343F" w:rsidRDefault="00BC343F" w:rsidP="00BC343F">
      <w:pPr>
        <w:pStyle w:val="Header"/>
        <w:spacing w:before="60" w:after="60"/>
        <w:ind w:left="-990" w:right="-54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Checklist for Performing Monthly Independent Reviews</w:t>
      </w:r>
    </w:p>
    <w:p w14:paraId="6E921E48" w14:textId="77777777" w:rsidR="00BC343F" w:rsidRPr="002B14AB" w:rsidRDefault="00BC343F" w:rsidP="00BC343F">
      <w:pPr>
        <w:pStyle w:val="Header"/>
        <w:spacing w:before="60" w:after="60"/>
        <w:ind w:left="-990" w:right="-540"/>
        <w:jc w:val="center"/>
        <w:rPr>
          <w:b/>
          <w:szCs w:val="36"/>
        </w:rPr>
      </w:pPr>
    </w:p>
    <w:p w14:paraId="76A0A1F8" w14:textId="2E23287D" w:rsidR="00BC343F" w:rsidRDefault="00BC343F" w:rsidP="00BC343F">
      <w:r>
        <w:t>Members of the League of Minnesota Cities Insurance Trust (LMCIT) can purchase optional bond coverage for fidelity and faithful performance risks.</w:t>
      </w:r>
      <w:r w:rsidR="00BF0897">
        <w:t xml:space="preserve"> </w:t>
      </w:r>
      <w:r>
        <w:t>For more information, see Section VI.A</w:t>
      </w:r>
      <w:r w:rsidR="001D149C">
        <w:t xml:space="preserve">, </w:t>
      </w:r>
      <w:r w:rsidR="001D149C" w:rsidRPr="001D149C">
        <w:rPr>
          <w:i/>
          <w:iCs/>
        </w:rPr>
        <w:t>Bond coverage</w:t>
      </w:r>
      <w:r w:rsidR="001D149C">
        <w:rPr>
          <w:i/>
          <w:iCs/>
        </w:rPr>
        <w:t>,</w:t>
      </w:r>
      <w:r>
        <w:t xml:space="preserve"> of the </w:t>
      </w:r>
      <w:hyperlink r:id="rId8" w:history="1">
        <w:r w:rsidRPr="007266DD">
          <w:rPr>
            <w:rStyle w:val="Hyperlink"/>
          </w:rPr>
          <w:t>LMCIT Property, Crime, Bon</w:t>
        </w:r>
        <w:r w:rsidRPr="007266DD">
          <w:rPr>
            <w:rStyle w:val="Hyperlink"/>
          </w:rPr>
          <w:t>d</w:t>
        </w:r>
        <w:r w:rsidRPr="007266DD">
          <w:rPr>
            <w:rStyle w:val="Hyperlink"/>
          </w:rPr>
          <w:t xml:space="preserve">, and </w:t>
        </w:r>
        <w:proofErr w:type="spellStart"/>
        <w:r w:rsidRPr="007266DD">
          <w:rPr>
            <w:rStyle w:val="Hyperlink"/>
          </w:rPr>
          <w:t>Petrofund</w:t>
        </w:r>
        <w:proofErr w:type="spellEnd"/>
        <w:r w:rsidRPr="007266DD">
          <w:rPr>
            <w:rStyle w:val="Hyperlink"/>
          </w:rPr>
          <w:t xml:space="preserve"> Coverage Guide</w:t>
        </w:r>
      </w:hyperlink>
      <w:r>
        <w:t>.</w:t>
      </w:r>
      <w:r w:rsidR="00BF0897">
        <w:t xml:space="preserve"> </w:t>
      </w:r>
    </w:p>
    <w:p w14:paraId="0B72A401" w14:textId="77777777" w:rsidR="00BC343F" w:rsidRDefault="00BC343F" w:rsidP="00BC343F"/>
    <w:p w14:paraId="480A660C" w14:textId="77777777" w:rsidR="00BC343F" w:rsidRPr="00CF63EA" w:rsidRDefault="00BC343F" w:rsidP="00BC343F">
      <w:pPr>
        <w:rPr>
          <w:b/>
          <w:sz w:val="26"/>
          <w:szCs w:val="26"/>
        </w:rPr>
      </w:pPr>
      <w:r w:rsidRPr="00CF63EA">
        <w:rPr>
          <w:b/>
          <w:sz w:val="26"/>
          <w:szCs w:val="26"/>
        </w:rPr>
        <w:t>Underwriting Requir</w:t>
      </w:r>
      <w:r>
        <w:rPr>
          <w:b/>
          <w:sz w:val="26"/>
          <w:szCs w:val="26"/>
        </w:rPr>
        <w:t>ements for LMCIT Bond Coverage</w:t>
      </w:r>
    </w:p>
    <w:p w14:paraId="51F9B03A" w14:textId="6DDD0430" w:rsidR="00BC343F" w:rsidRDefault="00BC343F" w:rsidP="00BC343F">
      <w:r w:rsidRPr="00245073">
        <w:t xml:space="preserve">The minimum limit </w:t>
      </w:r>
      <w:r>
        <w:t xml:space="preserve">of bond coverage that is </w:t>
      </w:r>
      <w:r w:rsidRPr="00245073">
        <w:t xml:space="preserve">available is $50,000 per </w:t>
      </w:r>
      <w:r w:rsidR="00BF0897" w:rsidRPr="00245073">
        <w:t>occurrence but</w:t>
      </w:r>
      <w:r>
        <w:t xml:space="preserve"> limits up to </w:t>
      </w:r>
      <w:r w:rsidRPr="00245073">
        <w:t>$</w:t>
      </w:r>
      <w:r>
        <w:t>3</w:t>
      </w:r>
      <w:r w:rsidRPr="00245073">
        <w:t xml:space="preserve"> million</w:t>
      </w:r>
      <w:r>
        <w:t xml:space="preserve"> can be obtained</w:t>
      </w:r>
      <w:r w:rsidRPr="00245073">
        <w:t>.</w:t>
      </w:r>
      <w:r w:rsidR="00BF0897">
        <w:t xml:space="preserve"> </w:t>
      </w:r>
      <w:r w:rsidRPr="00245073">
        <w:t xml:space="preserve">Members </w:t>
      </w:r>
      <w:r>
        <w:t>are</w:t>
      </w:r>
      <w:r w:rsidRPr="00245073">
        <w:t xml:space="preserve"> required to meet </w:t>
      </w:r>
      <w:r>
        <w:t xml:space="preserve">certain </w:t>
      </w:r>
      <w:r w:rsidRPr="00245073">
        <w:t xml:space="preserve">underwriting criteria if limits in excess of $50,000 are needed. Members will </w:t>
      </w:r>
      <w:r>
        <w:t xml:space="preserve">need </w:t>
      </w:r>
      <w:r w:rsidRPr="00245073">
        <w:t xml:space="preserve">to verify with LMCIT that either: </w:t>
      </w:r>
    </w:p>
    <w:p w14:paraId="72EA810D" w14:textId="77777777" w:rsidR="00BC343F" w:rsidRDefault="00BC343F" w:rsidP="00BC343F"/>
    <w:p w14:paraId="2965C3B7" w14:textId="77777777" w:rsidR="00BC343F" w:rsidRDefault="00BC343F" w:rsidP="00BC343F">
      <w:pPr>
        <w:numPr>
          <w:ilvl w:val="0"/>
          <w:numId w:val="2"/>
        </w:numPr>
        <w:ind w:left="360"/>
      </w:pPr>
      <w:r w:rsidRPr="0045042A">
        <w:t>An annual outside audit is being performed; or</w:t>
      </w:r>
    </w:p>
    <w:p w14:paraId="4011FDDA" w14:textId="77777777" w:rsidR="00BC343F" w:rsidRDefault="00BC343F" w:rsidP="00BC343F">
      <w:pPr>
        <w:ind w:left="360"/>
      </w:pPr>
    </w:p>
    <w:p w14:paraId="0D445AC8" w14:textId="77777777" w:rsidR="00BC343F" w:rsidRDefault="00BC343F" w:rsidP="00BC343F">
      <w:pPr>
        <w:numPr>
          <w:ilvl w:val="0"/>
          <w:numId w:val="2"/>
        </w:numPr>
        <w:ind w:left="360"/>
      </w:pPr>
      <w:r>
        <w:t>Monthly i</w:t>
      </w:r>
      <w:r w:rsidRPr="0045042A">
        <w:t>ndependent reviews of bank statements, cancelled checks, and cash receipts are being performed.</w:t>
      </w:r>
    </w:p>
    <w:p w14:paraId="125B622E" w14:textId="77777777" w:rsidR="00BC343F" w:rsidRDefault="00BC343F" w:rsidP="00BC343F">
      <w:pPr>
        <w:pStyle w:val="ListParagraph"/>
        <w:ind w:left="0"/>
      </w:pPr>
    </w:p>
    <w:p w14:paraId="56D2490A" w14:textId="77777777" w:rsidR="00BC343F" w:rsidRPr="00CF63EA" w:rsidRDefault="00BC343F" w:rsidP="00BC343F">
      <w:pPr>
        <w:rPr>
          <w:b/>
          <w:sz w:val="26"/>
          <w:szCs w:val="26"/>
        </w:rPr>
      </w:pPr>
      <w:r w:rsidRPr="00CF63EA">
        <w:rPr>
          <w:b/>
          <w:sz w:val="26"/>
          <w:szCs w:val="26"/>
        </w:rPr>
        <w:t xml:space="preserve">Checklists for Performing Monthly Independent Reviews </w:t>
      </w:r>
    </w:p>
    <w:p w14:paraId="5C48E5AA" w14:textId="3A06B49F" w:rsidR="00BC343F" w:rsidRDefault="00BC343F" w:rsidP="00BC343F">
      <w:r>
        <w:t>The checklists found on the following pages can be used by members that elect to go with the</w:t>
      </w:r>
      <w:r w:rsidRPr="00245073">
        <w:t xml:space="preserve"> second, less-formal option</w:t>
      </w:r>
      <w:r>
        <w:t xml:space="preserve"> of conducting a monthly independent review of 1) bank statements,</w:t>
      </w:r>
      <w:r w:rsidR="00BF0897">
        <w:t xml:space="preserve">  </w:t>
      </w:r>
      <w:r>
        <w:t xml:space="preserve"> 2) cancelled checks, and 3) cash receipts as a way to meet the new underwriting requirement. It will also help members </w:t>
      </w:r>
      <w:r w:rsidRPr="00245073">
        <w:t xml:space="preserve">prevent and detect fraudulent </w:t>
      </w:r>
      <w:r w:rsidR="00BF0897" w:rsidRPr="00245073">
        <w:t>activity and</w:t>
      </w:r>
      <w:r w:rsidRPr="00245073">
        <w:t xml:space="preserve"> </w:t>
      </w:r>
      <w:r>
        <w:t>lessen the likelihood of</w:t>
      </w:r>
      <w:r w:rsidRPr="00245073">
        <w:t xml:space="preserve"> </w:t>
      </w:r>
      <w:r>
        <w:t>claims (both to the individual</w:t>
      </w:r>
      <w:r w:rsidRPr="00245073">
        <w:t xml:space="preserve"> member and </w:t>
      </w:r>
      <w:r>
        <w:t xml:space="preserve">to the </w:t>
      </w:r>
      <w:r w:rsidRPr="00245073">
        <w:t>LMCIT</w:t>
      </w:r>
      <w:r>
        <w:t xml:space="preserve"> membership as a whole).</w:t>
      </w:r>
    </w:p>
    <w:p w14:paraId="739F8D36" w14:textId="77777777" w:rsidR="00BC343F" w:rsidRDefault="00BC343F" w:rsidP="00BC343F"/>
    <w:p w14:paraId="4AF94462" w14:textId="14A8ED55" w:rsidR="00BC343F" w:rsidRDefault="00BC343F" w:rsidP="00BC343F">
      <w:pPr>
        <w:rPr>
          <w:szCs w:val="22"/>
        </w:rPr>
      </w:pPr>
      <w:r>
        <w:rPr>
          <w:szCs w:val="22"/>
        </w:rPr>
        <w:t>These</w:t>
      </w:r>
      <w:r w:rsidRPr="00245073">
        <w:rPr>
          <w:szCs w:val="22"/>
        </w:rPr>
        <w:t xml:space="preserve"> </w:t>
      </w:r>
      <w:r>
        <w:rPr>
          <w:szCs w:val="22"/>
        </w:rPr>
        <w:t>checklists are</w:t>
      </w:r>
      <w:r w:rsidRPr="00245073">
        <w:rPr>
          <w:szCs w:val="22"/>
        </w:rPr>
        <w:t xml:space="preserve"> not meant to be all inclusive</w:t>
      </w:r>
      <w:r>
        <w:rPr>
          <w:szCs w:val="22"/>
        </w:rPr>
        <w:t>.</w:t>
      </w:r>
      <w:r w:rsidR="00BF0897">
        <w:rPr>
          <w:szCs w:val="22"/>
        </w:rPr>
        <w:t xml:space="preserve"> </w:t>
      </w:r>
      <w:r>
        <w:rPr>
          <w:szCs w:val="22"/>
        </w:rPr>
        <w:t>They only include the minimum questions you should ask as part of your organization’s best practices to prevent and detect fraudulent activity.</w:t>
      </w:r>
      <w:r w:rsidR="00BF0897">
        <w:rPr>
          <w:szCs w:val="22"/>
        </w:rPr>
        <w:t xml:space="preserve"> </w:t>
      </w:r>
      <w:r>
        <w:rPr>
          <w:szCs w:val="22"/>
        </w:rPr>
        <w:t>We encourage you to ask even more questions if necessary.</w:t>
      </w:r>
      <w:r w:rsidR="00BF0897">
        <w:rPr>
          <w:szCs w:val="22"/>
        </w:rPr>
        <w:t xml:space="preserve"> </w:t>
      </w:r>
    </w:p>
    <w:p w14:paraId="57C12F81" w14:textId="77777777" w:rsidR="00BC343F" w:rsidRDefault="00BC343F" w:rsidP="00BC343F">
      <w:pPr>
        <w:rPr>
          <w:szCs w:val="22"/>
        </w:rPr>
      </w:pPr>
    </w:p>
    <w:p w14:paraId="294841C7" w14:textId="55E00A26" w:rsidR="00BC343F" w:rsidRDefault="00BC343F" w:rsidP="00BC343F">
      <w:pPr>
        <w:rPr>
          <w:szCs w:val="22"/>
        </w:rPr>
      </w:pPr>
      <w:r>
        <w:rPr>
          <w:szCs w:val="22"/>
        </w:rPr>
        <w:t>The checklists are also not meant to be used as an application to secure higher bond limits; rather, they are only intended for your own internal use.</w:t>
      </w:r>
      <w:r w:rsidR="00BF0897">
        <w:rPr>
          <w:szCs w:val="22"/>
        </w:rPr>
        <w:t xml:space="preserve"> </w:t>
      </w:r>
      <w:r w:rsidRPr="001D6961">
        <w:rPr>
          <w:b/>
          <w:szCs w:val="22"/>
        </w:rPr>
        <w:t>There is no need to submit the checklists to LMCIT.</w:t>
      </w:r>
      <w:r>
        <w:rPr>
          <w:szCs w:val="22"/>
        </w:rPr>
        <w:t xml:space="preserve"> On your renewal application, however, you will need to verify whether you meet the underwriting requirements by simply answering a question about your auditing activities (i.e., either you perform an annual outside audit or you conduct a monthly independent review of the items noted above).</w:t>
      </w:r>
      <w:r w:rsidR="00BF0897">
        <w:rPr>
          <w:szCs w:val="22"/>
        </w:rPr>
        <w:t xml:space="preserve"> </w:t>
      </w:r>
    </w:p>
    <w:p w14:paraId="541047EF" w14:textId="77777777" w:rsidR="00BC343F" w:rsidRDefault="00BC343F" w:rsidP="00BC343F">
      <w:pPr>
        <w:rPr>
          <w:szCs w:val="22"/>
        </w:rPr>
      </w:pPr>
    </w:p>
    <w:p w14:paraId="0FA47119" w14:textId="3ECD2905" w:rsidR="00BC343F" w:rsidRPr="00641B58" w:rsidRDefault="00BC343F" w:rsidP="00BC343F">
      <w:pPr>
        <w:rPr>
          <w:i/>
          <w:sz w:val="20"/>
          <w:szCs w:val="20"/>
        </w:rPr>
      </w:pPr>
      <w:r w:rsidRPr="00641B58">
        <w:rPr>
          <w:i/>
          <w:sz w:val="20"/>
          <w:szCs w:val="20"/>
        </w:rPr>
        <w:t>LMCIT worked with Eide Bailly to develop the checklist</w:t>
      </w:r>
      <w:r>
        <w:rPr>
          <w:i/>
          <w:sz w:val="20"/>
          <w:szCs w:val="20"/>
        </w:rPr>
        <w:t>s</w:t>
      </w:r>
      <w:r w:rsidRPr="00641B58">
        <w:rPr>
          <w:i/>
          <w:sz w:val="20"/>
          <w:szCs w:val="20"/>
        </w:rPr>
        <w:t xml:space="preserve"> on the following pages.</w:t>
      </w:r>
      <w:r w:rsidR="00BF0897">
        <w:rPr>
          <w:i/>
          <w:sz w:val="20"/>
          <w:szCs w:val="20"/>
        </w:rPr>
        <w:t xml:space="preserve"> </w:t>
      </w:r>
      <w:r w:rsidRPr="00641B58">
        <w:rPr>
          <w:i/>
          <w:sz w:val="20"/>
          <w:szCs w:val="20"/>
        </w:rPr>
        <w:t>If you have any questions or need further assistance, contact your LMCIT underwriter at (651) 281-1200</w:t>
      </w:r>
      <w:r>
        <w:rPr>
          <w:i/>
          <w:sz w:val="20"/>
          <w:szCs w:val="20"/>
        </w:rPr>
        <w:t>.</w:t>
      </w:r>
      <w:r w:rsidR="00BF0897">
        <w:rPr>
          <w:i/>
          <w:sz w:val="20"/>
          <w:szCs w:val="20"/>
        </w:rPr>
        <w:t xml:space="preserve"> </w:t>
      </w:r>
      <w:r w:rsidRPr="00641B58">
        <w:rPr>
          <w:i/>
          <w:sz w:val="20"/>
          <w:szCs w:val="20"/>
        </w:rPr>
        <w:t xml:space="preserve"> </w:t>
      </w:r>
    </w:p>
    <w:p w14:paraId="32937452" w14:textId="77777777" w:rsidR="00BC343F" w:rsidRDefault="00BC343F" w:rsidP="00BC343F">
      <w:pPr>
        <w:spacing w:before="60" w:after="60"/>
        <w:ind w:left="-630"/>
        <w:rPr>
          <w:b/>
          <w:sz w:val="28"/>
        </w:rPr>
      </w:pPr>
    </w:p>
    <w:p w14:paraId="5DE23605" w14:textId="77777777" w:rsidR="00BC343F" w:rsidRPr="007B651D" w:rsidRDefault="00BC343F" w:rsidP="00BC343F">
      <w:pPr>
        <w:numPr>
          <w:ilvl w:val="0"/>
          <w:numId w:val="3"/>
        </w:numPr>
        <w:spacing w:before="60" w:after="60"/>
        <w:rPr>
          <w:b/>
          <w:sz w:val="28"/>
        </w:rPr>
      </w:pPr>
      <w:r w:rsidRPr="007B651D">
        <w:rPr>
          <w:b/>
          <w:sz w:val="28"/>
        </w:rPr>
        <w:lastRenderedPageBreak/>
        <w:t>Monthly Independent Review of Bank Statements</w:t>
      </w:r>
    </w:p>
    <w:p w14:paraId="4A3F3B8D" w14:textId="77777777" w:rsidR="00BC343F" w:rsidRPr="00A77D35" w:rsidRDefault="00BC343F" w:rsidP="00BC343F">
      <w:pPr>
        <w:spacing w:before="60" w:after="60"/>
        <w:ind w:left="-990"/>
        <w:rPr>
          <w:szCs w:val="22"/>
        </w:rPr>
      </w:pPr>
      <w:r w:rsidRPr="00A77D35">
        <w:rPr>
          <w:szCs w:val="22"/>
        </w:rPr>
        <w:t>An employee, council member or 3</w:t>
      </w:r>
      <w:r w:rsidRPr="00A77D35">
        <w:rPr>
          <w:szCs w:val="22"/>
          <w:vertAlign w:val="superscript"/>
        </w:rPr>
        <w:t>rd</w:t>
      </w:r>
      <w:r w:rsidRPr="00A77D35">
        <w:rPr>
          <w:szCs w:val="22"/>
        </w:rPr>
        <w:t xml:space="preserve"> party without the authorization to initiate or execute bank transactions </w:t>
      </w:r>
      <w:r>
        <w:rPr>
          <w:szCs w:val="22"/>
        </w:rPr>
        <w:t>should conduct this</w:t>
      </w:r>
      <w:r w:rsidRPr="00A77D35">
        <w:rPr>
          <w:szCs w:val="22"/>
        </w:rPr>
        <w:t xml:space="preserve"> review.</w:t>
      </w:r>
    </w:p>
    <w:p w14:paraId="76DC72FA" w14:textId="77777777" w:rsidR="00BC343F" w:rsidRDefault="00BC343F" w:rsidP="00BC343F">
      <w:pPr>
        <w:rPr>
          <w:b/>
          <w:szCs w:val="22"/>
        </w:rPr>
      </w:pPr>
    </w:p>
    <w:tbl>
      <w:tblPr>
        <w:tblW w:w="1086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5580"/>
        <w:gridCol w:w="720"/>
        <w:gridCol w:w="720"/>
      </w:tblGrid>
      <w:tr w:rsidR="00BC343F" w:rsidRPr="00CF63EA" w14:paraId="1A75C830" w14:textId="77777777" w:rsidTr="00BC343F">
        <w:tc>
          <w:tcPr>
            <w:tcW w:w="3847" w:type="dxa"/>
            <w:shd w:val="clear" w:color="auto" w:fill="auto"/>
          </w:tcPr>
          <w:p w14:paraId="0233CA19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Focus on:</w:t>
            </w:r>
          </w:p>
        </w:tc>
        <w:tc>
          <w:tcPr>
            <w:tcW w:w="5580" w:type="dxa"/>
            <w:shd w:val="clear" w:color="auto" w:fill="auto"/>
          </w:tcPr>
          <w:p w14:paraId="17DCDC81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Ask these questions:</w:t>
            </w:r>
          </w:p>
        </w:tc>
        <w:tc>
          <w:tcPr>
            <w:tcW w:w="720" w:type="dxa"/>
            <w:shd w:val="clear" w:color="auto" w:fill="auto"/>
          </w:tcPr>
          <w:p w14:paraId="0F03F5EB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5FDF391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No</w:t>
            </w:r>
          </w:p>
        </w:tc>
      </w:tr>
      <w:tr w:rsidR="00BC343F" w:rsidRPr="007455E0" w14:paraId="345B104A" w14:textId="77777777" w:rsidTr="00BC343F">
        <w:tc>
          <w:tcPr>
            <w:tcW w:w="3847" w:type="dxa"/>
            <w:vMerge w:val="restart"/>
            <w:shd w:val="clear" w:color="auto" w:fill="auto"/>
          </w:tcPr>
          <w:p w14:paraId="338D89FE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b/>
                <w:szCs w:val="22"/>
              </w:rPr>
              <w:t>Transfers</w:t>
            </w:r>
          </w:p>
          <w:p w14:paraId="57F3A3B9" w14:textId="77777777" w:rsidR="00BC343F" w:rsidRPr="007455E0" w:rsidRDefault="00BC343F" w:rsidP="00977304">
            <w:pPr>
              <w:spacing w:before="60" w:after="60"/>
              <w:rPr>
                <w:i/>
                <w:szCs w:val="22"/>
              </w:rPr>
            </w:pPr>
            <w:r w:rsidRPr="007455E0">
              <w:rPr>
                <w:i/>
                <w:szCs w:val="22"/>
              </w:rPr>
              <w:t>Compare transfers reported on bank statements to transfers recorded in the accounting records.</w:t>
            </w:r>
          </w:p>
        </w:tc>
        <w:tc>
          <w:tcPr>
            <w:tcW w:w="5580" w:type="dxa"/>
            <w:shd w:val="clear" w:color="auto" w:fill="auto"/>
          </w:tcPr>
          <w:p w14:paraId="38DCD0DE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transfers to unknown accounts?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459444" w14:textId="77777777" w:rsidR="00BC343F" w:rsidRPr="007455E0" w:rsidRDefault="00BC343F" w:rsidP="00977304">
            <w:pPr>
              <w:spacing w:before="60" w:after="60"/>
              <w:jc w:val="center"/>
              <w:rPr>
                <w:b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55B059" w14:textId="77777777" w:rsidR="00BC343F" w:rsidRPr="007455E0" w:rsidRDefault="00BC343F" w:rsidP="00977304">
            <w:pPr>
              <w:spacing w:before="60" w:after="60"/>
              <w:jc w:val="center"/>
              <w:rPr>
                <w:b/>
                <w:szCs w:val="22"/>
              </w:rPr>
            </w:pPr>
          </w:p>
        </w:tc>
      </w:tr>
      <w:tr w:rsidR="00BC343F" w:rsidRPr="007455E0" w14:paraId="5691A593" w14:textId="77777777" w:rsidTr="00BC343F">
        <w:tc>
          <w:tcPr>
            <w:tcW w:w="3847" w:type="dxa"/>
            <w:vMerge/>
            <w:shd w:val="clear" w:color="auto" w:fill="auto"/>
          </w:tcPr>
          <w:p w14:paraId="248CA513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2A59A9A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larger, even dollar amounts (e.g., $8,000.00)?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28D179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8EC64" w14:textId="77777777" w:rsidR="00BC343F" w:rsidRDefault="00BC343F" w:rsidP="00977304">
            <w:pPr>
              <w:jc w:val="center"/>
            </w:pPr>
          </w:p>
        </w:tc>
      </w:tr>
      <w:tr w:rsidR="00BC343F" w:rsidRPr="007455E0" w14:paraId="6D278B94" w14:textId="77777777" w:rsidTr="00BC343F">
        <w:tc>
          <w:tcPr>
            <w:tcW w:w="3847" w:type="dxa"/>
            <w:vMerge/>
            <w:shd w:val="clear" w:color="auto" w:fill="auto"/>
          </w:tcPr>
          <w:p w14:paraId="2C89CBCD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3D5C3151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transfers to accounts that are different than accounts recorded in the accounting record?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DCD2F6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95D55F" w14:textId="77777777" w:rsidR="00BC343F" w:rsidRDefault="00BC343F" w:rsidP="00977304">
            <w:pPr>
              <w:jc w:val="center"/>
            </w:pPr>
          </w:p>
        </w:tc>
      </w:tr>
      <w:tr w:rsidR="00BC343F" w:rsidRPr="007455E0" w14:paraId="457F43A3" w14:textId="77777777" w:rsidTr="00BC343F">
        <w:tc>
          <w:tcPr>
            <w:tcW w:w="3847" w:type="dxa"/>
            <w:vMerge/>
            <w:shd w:val="clear" w:color="auto" w:fill="auto"/>
          </w:tcPr>
          <w:p w14:paraId="2122A687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95B42F6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omitted transfers from the accounting records?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24C0DE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07D4E6" w14:textId="77777777" w:rsidR="00BC343F" w:rsidRDefault="00BC343F" w:rsidP="00977304">
            <w:pPr>
              <w:jc w:val="center"/>
            </w:pPr>
          </w:p>
        </w:tc>
      </w:tr>
      <w:tr w:rsidR="00BC343F" w:rsidRPr="007455E0" w14:paraId="539F56B7" w14:textId="77777777" w:rsidTr="00BC343F">
        <w:tc>
          <w:tcPr>
            <w:tcW w:w="3847" w:type="dxa"/>
            <w:vMerge w:val="restart"/>
            <w:shd w:val="clear" w:color="auto" w:fill="auto"/>
          </w:tcPr>
          <w:p w14:paraId="3E529404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b/>
                <w:szCs w:val="22"/>
              </w:rPr>
              <w:t>ACH Transactions</w:t>
            </w:r>
          </w:p>
          <w:p w14:paraId="01052217" w14:textId="77777777" w:rsidR="00BC343F" w:rsidRPr="007455E0" w:rsidRDefault="00BC343F" w:rsidP="00977304">
            <w:pPr>
              <w:spacing w:before="60" w:after="60"/>
              <w:rPr>
                <w:b/>
                <w:i/>
                <w:szCs w:val="22"/>
              </w:rPr>
            </w:pPr>
            <w:r w:rsidRPr="007455E0">
              <w:rPr>
                <w:i/>
                <w:szCs w:val="22"/>
              </w:rPr>
              <w:t>Compare automated clearing house transactions (ACHs) reported on bank statements to ACHs recorded in the accounting records.</w:t>
            </w:r>
          </w:p>
        </w:tc>
        <w:tc>
          <w:tcPr>
            <w:tcW w:w="5580" w:type="dxa"/>
            <w:shd w:val="clear" w:color="auto" w:fill="auto"/>
          </w:tcPr>
          <w:p w14:paraId="3CF98E85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ACHs to unknown vendors/payees?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DD46B4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EE4A25" w14:textId="77777777" w:rsidR="00BC343F" w:rsidRDefault="00BC343F" w:rsidP="00977304">
            <w:pPr>
              <w:jc w:val="center"/>
            </w:pPr>
          </w:p>
        </w:tc>
      </w:tr>
      <w:tr w:rsidR="00BC343F" w:rsidRPr="007455E0" w14:paraId="3D63A963" w14:textId="77777777" w:rsidTr="00BC343F">
        <w:tc>
          <w:tcPr>
            <w:tcW w:w="3847" w:type="dxa"/>
            <w:vMerge/>
            <w:shd w:val="clear" w:color="auto" w:fill="auto"/>
          </w:tcPr>
          <w:p w14:paraId="22CE8C30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E4E1E1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larger, even dollar amounts (e.g., $8,000.00)?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BA69C7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78C67F" w14:textId="77777777" w:rsidR="00BC343F" w:rsidRDefault="00BC343F" w:rsidP="00977304">
            <w:pPr>
              <w:jc w:val="center"/>
            </w:pPr>
          </w:p>
        </w:tc>
      </w:tr>
      <w:tr w:rsidR="00BC343F" w:rsidRPr="007455E0" w14:paraId="2FB55E81" w14:textId="77777777" w:rsidTr="00BC343F">
        <w:tc>
          <w:tcPr>
            <w:tcW w:w="3847" w:type="dxa"/>
            <w:vMerge/>
            <w:shd w:val="clear" w:color="auto" w:fill="auto"/>
          </w:tcPr>
          <w:p w14:paraId="33661E19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F9D6478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ACHs to vendors/payee that are different than the vendors/payees recorded in the accounting records?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244310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2D6CD7" w14:textId="77777777" w:rsidR="00BC343F" w:rsidRDefault="00BC343F" w:rsidP="00977304">
            <w:pPr>
              <w:jc w:val="center"/>
            </w:pPr>
          </w:p>
        </w:tc>
      </w:tr>
      <w:tr w:rsidR="00BC343F" w:rsidRPr="007455E0" w14:paraId="1A36985F" w14:textId="77777777" w:rsidTr="00BC343F">
        <w:tc>
          <w:tcPr>
            <w:tcW w:w="3847" w:type="dxa"/>
            <w:vMerge/>
            <w:shd w:val="clear" w:color="auto" w:fill="auto"/>
          </w:tcPr>
          <w:p w14:paraId="5BF75201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3A11D3B8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omitted ACHs from the accounting records?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40E23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CF3BD1" w14:textId="77777777" w:rsidR="00BC343F" w:rsidRDefault="00BC343F" w:rsidP="00977304">
            <w:pPr>
              <w:jc w:val="center"/>
            </w:pPr>
          </w:p>
        </w:tc>
      </w:tr>
      <w:tr w:rsidR="00BC343F" w:rsidRPr="007455E0" w14:paraId="4E236071" w14:textId="77777777" w:rsidTr="00BC343F">
        <w:tc>
          <w:tcPr>
            <w:tcW w:w="3847" w:type="dxa"/>
            <w:vMerge w:val="restart"/>
            <w:shd w:val="clear" w:color="auto" w:fill="auto"/>
          </w:tcPr>
          <w:p w14:paraId="3B802704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b/>
                <w:szCs w:val="22"/>
              </w:rPr>
              <w:t>Withdrawals</w:t>
            </w:r>
          </w:p>
          <w:p w14:paraId="3E658843" w14:textId="53124E96" w:rsidR="00BC343F" w:rsidRPr="007455E0" w:rsidRDefault="00BC343F" w:rsidP="00977304">
            <w:pPr>
              <w:spacing w:before="60" w:after="60"/>
              <w:rPr>
                <w:b/>
                <w:i/>
                <w:szCs w:val="22"/>
              </w:rPr>
            </w:pPr>
            <w:r w:rsidRPr="007455E0">
              <w:rPr>
                <w:i/>
                <w:szCs w:val="22"/>
              </w:rPr>
              <w:t>Compare withdrawals reported on bank statements to withdrawals recorded in the accounting records.</w:t>
            </w:r>
            <w:r w:rsidR="00BF0897">
              <w:rPr>
                <w:i/>
                <w:szCs w:val="22"/>
              </w:rPr>
              <w:t xml:space="preserve"> </w:t>
            </w:r>
            <w:r w:rsidRPr="007455E0">
              <w:rPr>
                <w:i/>
                <w:szCs w:val="22"/>
              </w:rPr>
              <w:t>Review should include withdrawals by ATMs and withdrawals made at the bank.</w:t>
            </w:r>
          </w:p>
        </w:tc>
        <w:tc>
          <w:tcPr>
            <w:tcW w:w="5580" w:type="dxa"/>
            <w:shd w:val="clear" w:color="auto" w:fill="auto"/>
          </w:tcPr>
          <w:p w14:paraId="58295AF0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szCs w:val="22"/>
              </w:rPr>
              <w:t>Are there any withdrawals omitted from the accounting records?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298E8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00CF74" w14:textId="77777777" w:rsidR="00BC343F" w:rsidRDefault="00BC343F" w:rsidP="00977304">
            <w:pPr>
              <w:jc w:val="center"/>
            </w:pPr>
          </w:p>
        </w:tc>
      </w:tr>
      <w:tr w:rsidR="00BC343F" w:rsidRPr="007455E0" w14:paraId="05CB1345" w14:textId="77777777" w:rsidTr="00BC343F">
        <w:tc>
          <w:tcPr>
            <w:tcW w:w="3847" w:type="dxa"/>
            <w:vMerge/>
            <w:shd w:val="clear" w:color="auto" w:fill="auto"/>
          </w:tcPr>
          <w:p w14:paraId="3E37BDF2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7B7EC028" w14:textId="77777777" w:rsidR="00BC343F" w:rsidRPr="007455E0" w:rsidRDefault="00BC343F" w:rsidP="00977304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Are there any withdrawals made without supporting documentation, such as invoices or receipts?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9EB72A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E5B12F" w14:textId="77777777" w:rsidR="00BC343F" w:rsidRDefault="00BC343F" w:rsidP="00977304">
            <w:pPr>
              <w:jc w:val="center"/>
            </w:pPr>
          </w:p>
        </w:tc>
      </w:tr>
      <w:tr w:rsidR="00BC343F" w:rsidRPr="007455E0" w14:paraId="17A408ED" w14:textId="77777777" w:rsidTr="00BC343F">
        <w:tc>
          <w:tcPr>
            <w:tcW w:w="3847" w:type="dxa"/>
            <w:vMerge w:val="restart"/>
            <w:shd w:val="clear" w:color="auto" w:fill="auto"/>
          </w:tcPr>
          <w:p w14:paraId="5AAF0493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b/>
                <w:szCs w:val="22"/>
              </w:rPr>
              <w:t>Other Debits</w:t>
            </w:r>
          </w:p>
          <w:p w14:paraId="074F5253" w14:textId="77777777" w:rsidR="00BC343F" w:rsidRPr="007455E0" w:rsidRDefault="00BC343F" w:rsidP="00977304">
            <w:pPr>
              <w:spacing w:before="60" w:after="60"/>
              <w:rPr>
                <w:i/>
              </w:rPr>
            </w:pPr>
            <w:r w:rsidRPr="007455E0">
              <w:rPr>
                <w:i/>
              </w:rPr>
              <w:t>Compare miscellaneous/other debits reported on bank statements to transactions recorded in the accounting records.</w:t>
            </w:r>
          </w:p>
        </w:tc>
        <w:tc>
          <w:tcPr>
            <w:tcW w:w="5580" w:type="dxa"/>
            <w:shd w:val="clear" w:color="auto" w:fill="auto"/>
          </w:tcPr>
          <w:p w14:paraId="0915E23E" w14:textId="77777777" w:rsidR="00BC343F" w:rsidRPr="007455E0" w:rsidRDefault="00BC343F" w:rsidP="00BC343F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Are there any debits omitted from the accounting records?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951ED2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CC1DE8" w14:textId="77777777" w:rsidR="00BC343F" w:rsidRDefault="00BC343F" w:rsidP="00977304">
            <w:pPr>
              <w:jc w:val="center"/>
            </w:pPr>
          </w:p>
        </w:tc>
      </w:tr>
      <w:tr w:rsidR="00BC343F" w:rsidRPr="007455E0" w14:paraId="4A259D68" w14:textId="77777777" w:rsidTr="00BC343F">
        <w:tc>
          <w:tcPr>
            <w:tcW w:w="3847" w:type="dxa"/>
            <w:vMerge/>
            <w:shd w:val="clear" w:color="auto" w:fill="auto"/>
          </w:tcPr>
          <w:p w14:paraId="0AF7360E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E17547" w14:textId="77777777" w:rsidR="00BC343F" w:rsidRPr="007455E0" w:rsidRDefault="00BC343F" w:rsidP="00977304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Are there debits that lack supporting documentation, such as invoices or receipts?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5CF57F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42AE4D" w14:textId="77777777" w:rsidR="00BC343F" w:rsidRDefault="00BC343F" w:rsidP="00977304">
            <w:pPr>
              <w:jc w:val="center"/>
            </w:pPr>
          </w:p>
        </w:tc>
      </w:tr>
      <w:tr w:rsidR="00BC343F" w:rsidRPr="007455E0" w14:paraId="336C14F9" w14:textId="77777777" w:rsidTr="00BC343F">
        <w:tc>
          <w:tcPr>
            <w:tcW w:w="3847" w:type="dxa"/>
            <w:vMerge w:val="restart"/>
            <w:shd w:val="clear" w:color="auto" w:fill="auto"/>
          </w:tcPr>
          <w:p w14:paraId="20148C07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b/>
                <w:szCs w:val="22"/>
              </w:rPr>
              <w:t>Check Numbers</w:t>
            </w:r>
          </w:p>
          <w:p w14:paraId="4F4CBBF0" w14:textId="27EB878E" w:rsidR="00BC343F" w:rsidRPr="007455E0" w:rsidRDefault="00BC343F" w:rsidP="00977304">
            <w:pPr>
              <w:spacing w:before="60" w:after="60"/>
              <w:rPr>
                <w:i/>
              </w:rPr>
            </w:pPr>
            <w:r w:rsidRPr="007455E0">
              <w:rPr>
                <w:i/>
              </w:rPr>
              <w:t>Compare check numbers clearing the bank account to the check register.</w:t>
            </w:r>
            <w:r w:rsidR="00BF0897">
              <w:rPr>
                <w:i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4DD2C665" w14:textId="77777777" w:rsidR="00BC343F" w:rsidRPr="007455E0" w:rsidRDefault="00BC343F" w:rsidP="00BC343F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Are there check numbers clearing the bank account not reflected within the check register?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1F339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CA614" w14:textId="77777777" w:rsidR="00BC343F" w:rsidRDefault="00BC343F" w:rsidP="00977304">
            <w:pPr>
              <w:jc w:val="center"/>
            </w:pPr>
          </w:p>
        </w:tc>
      </w:tr>
      <w:tr w:rsidR="00BC343F" w:rsidRPr="007455E0" w14:paraId="63E2BDA4" w14:textId="77777777" w:rsidTr="00BC343F">
        <w:tc>
          <w:tcPr>
            <w:tcW w:w="3847" w:type="dxa"/>
            <w:vMerge/>
            <w:shd w:val="clear" w:color="auto" w:fill="auto"/>
          </w:tcPr>
          <w:p w14:paraId="546D67C7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04331689" w14:textId="77777777" w:rsidR="00BC343F" w:rsidRPr="007455E0" w:rsidRDefault="00BC343F" w:rsidP="00977304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Are there check numbers clearing the bank account that are voided within the accounting?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4460F" w14:textId="77777777" w:rsidR="00BC343F" w:rsidRDefault="00BC343F" w:rsidP="0097730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308171" w14:textId="77777777" w:rsidR="00BC343F" w:rsidRDefault="00BC343F" w:rsidP="00977304">
            <w:pPr>
              <w:jc w:val="center"/>
            </w:pPr>
          </w:p>
        </w:tc>
      </w:tr>
    </w:tbl>
    <w:p w14:paraId="0C922482" w14:textId="77777777" w:rsidR="00BC343F" w:rsidRDefault="00BC343F" w:rsidP="00BC343F">
      <w:pPr>
        <w:numPr>
          <w:ilvl w:val="0"/>
          <w:numId w:val="3"/>
        </w:numPr>
        <w:spacing w:before="60" w:after="60"/>
        <w:rPr>
          <w:b/>
          <w:sz w:val="28"/>
        </w:rPr>
      </w:pPr>
      <w:r w:rsidRPr="007B651D">
        <w:rPr>
          <w:b/>
          <w:sz w:val="28"/>
        </w:rPr>
        <w:lastRenderedPageBreak/>
        <w:t>Monthly Independent R</w:t>
      </w:r>
      <w:r>
        <w:rPr>
          <w:b/>
          <w:sz w:val="28"/>
        </w:rPr>
        <w:t>eview of Cancelled Checks</w:t>
      </w:r>
    </w:p>
    <w:p w14:paraId="5D8F403A" w14:textId="77777777" w:rsidR="00BC343F" w:rsidRDefault="00BC343F" w:rsidP="00BC343F">
      <w:pPr>
        <w:spacing w:before="60" w:after="60"/>
        <w:ind w:left="-990"/>
        <w:rPr>
          <w:szCs w:val="22"/>
        </w:rPr>
      </w:pPr>
      <w:r w:rsidRPr="00245073">
        <w:rPr>
          <w:szCs w:val="22"/>
        </w:rPr>
        <w:t>An employee, council member or 3</w:t>
      </w:r>
      <w:r w:rsidRPr="00245073">
        <w:rPr>
          <w:szCs w:val="22"/>
          <w:vertAlign w:val="superscript"/>
        </w:rPr>
        <w:t>rd</w:t>
      </w:r>
      <w:r>
        <w:rPr>
          <w:szCs w:val="22"/>
        </w:rPr>
        <w:t xml:space="preserve"> party</w:t>
      </w:r>
      <w:r w:rsidRPr="00245073">
        <w:rPr>
          <w:szCs w:val="22"/>
        </w:rPr>
        <w:t xml:space="preserve"> without access to the organization’s checks or signature authority, should conduct the review. The independent reviewer should compare cancelled checks clearing the bank account to the check register.</w:t>
      </w:r>
    </w:p>
    <w:p w14:paraId="5B9FE954" w14:textId="77777777" w:rsidR="00BC343F" w:rsidRPr="00A77D35" w:rsidRDefault="00BC343F" w:rsidP="00BC343F">
      <w:pPr>
        <w:ind w:left="-990"/>
        <w:rPr>
          <w:b/>
          <w:sz w:val="28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580"/>
        <w:gridCol w:w="675"/>
        <w:gridCol w:w="675"/>
      </w:tblGrid>
      <w:tr w:rsidR="00BC343F" w:rsidRPr="00CF63EA" w14:paraId="6EDA06B9" w14:textId="77777777" w:rsidTr="00977304">
        <w:tc>
          <w:tcPr>
            <w:tcW w:w="4050" w:type="dxa"/>
            <w:shd w:val="clear" w:color="auto" w:fill="auto"/>
          </w:tcPr>
          <w:p w14:paraId="20C729D0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Focus on:</w:t>
            </w:r>
          </w:p>
        </w:tc>
        <w:tc>
          <w:tcPr>
            <w:tcW w:w="5580" w:type="dxa"/>
            <w:shd w:val="clear" w:color="auto" w:fill="auto"/>
          </w:tcPr>
          <w:p w14:paraId="139BD26D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Ask these questions:</w:t>
            </w:r>
          </w:p>
        </w:tc>
        <w:tc>
          <w:tcPr>
            <w:tcW w:w="675" w:type="dxa"/>
            <w:shd w:val="clear" w:color="auto" w:fill="auto"/>
          </w:tcPr>
          <w:p w14:paraId="5BE46C79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675" w:type="dxa"/>
            <w:shd w:val="clear" w:color="auto" w:fill="auto"/>
          </w:tcPr>
          <w:p w14:paraId="652245BB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No</w:t>
            </w:r>
          </w:p>
        </w:tc>
      </w:tr>
      <w:tr w:rsidR="00BC343F" w:rsidRPr="007455E0" w14:paraId="56E1E7D7" w14:textId="77777777" w:rsidTr="00977304">
        <w:tc>
          <w:tcPr>
            <w:tcW w:w="4050" w:type="dxa"/>
            <w:shd w:val="clear" w:color="auto" w:fill="auto"/>
          </w:tcPr>
          <w:p w14:paraId="3D40E7B6" w14:textId="7AA255EC" w:rsidR="00BC343F" w:rsidRPr="007455E0" w:rsidRDefault="00BC343F" w:rsidP="00977304">
            <w:pPr>
              <w:spacing w:before="60" w:after="60"/>
              <w:rPr>
                <w:i/>
                <w:szCs w:val="22"/>
              </w:rPr>
            </w:pPr>
            <w:r w:rsidRPr="007455E0">
              <w:rPr>
                <w:b/>
                <w:szCs w:val="22"/>
              </w:rPr>
              <w:t>Payees</w:t>
            </w:r>
            <w:r w:rsidR="00BF0897">
              <w:rPr>
                <w:i/>
                <w:szCs w:val="22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7E05F85F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payees that are different on the cancelled checks than recorded in the accounting records?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164AC0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03E7380" w14:textId="77777777" w:rsidR="00BC343F" w:rsidRDefault="00BC343F" w:rsidP="00977304">
            <w:pPr>
              <w:jc w:val="center"/>
            </w:pPr>
          </w:p>
        </w:tc>
      </w:tr>
      <w:tr w:rsidR="00BC343F" w:rsidRPr="007455E0" w14:paraId="1F6E42F5" w14:textId="77777777" w:rsidTr="00977304">
        <w:tc>
          <w:tcPr>
            <w:tcW w:w="4050" w:type="dxa"/>
            <w:shd w:val="clear" w:color="auto" w:fill="auto"/>
          </w:tcPr>
          <w:p w14:paraId="338803FD" w14:textId="77777777" w:rsidR="00BC343F" w:rsidRPr="007455E0" w:rsidRDefault="00BC343F" w:rsidP="00977304">
            <w:pPr>
              <w:spacing w:before="60" w:after="60"/>
              <w:rPr>
                <w:b/>
                <w:i/>
                <w:szCs w:val="22"/>
              </w:rPr>
            </w:pPr>
            <w:r w:rsidRPr="007455E0">
              <w:rPr>
                <w:b/>
                <w:szCs w:val="22"/>
              </w:rPr>
              <w:t>Amounts</w:t>
            </w:r>
          </w:p>
        </w:tc>
        <w:tc>
          <w:tcPr>
            <w:tcW w:w="5580" w:type="dxa"/>
            <w:shd w:val="clear" w:color="auto" w:fill="auto"/>
          </w:tcPr>
          <w:p w14:paraId="040DD56F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Are there any amounts that are different on the cancelled checks than recorded in the accounting records?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1C1B29B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EEDAF64" w14:textId="77777777" w:rsidR="00BC343F" w:rsidRDefault="00BC343F" w:rsidP="00977304">
            <w:pPr>
              <w:jc w:val="center"/>
            </w:pPr>
          </w:p>
        </w:tc>
      </w:tr>
      <w:tr w:rsidR="00BC343F" w:rsidRPr="007455E0" w14:paraId="364F9B88" w14:textId="77777777" w:rsidTr="00977304">
        <w:tc>
          <w:tcPr>
            <w:tcW w:w="4050" w:type="dxa"/>
            <w:shd w:val="clear" w:color="auto" w:fill="auto"/>
          </w:tcPr>
          <w:p w14:paraId="640B6A3F" w14:textId="77777777" w:rsidR="00BC343F" w:rsidRPr="007455E0" w:rsidRDefault="00BC343F" w:rsidP="00977304">
            <w:pPr>
              <w:spacing w:before="60" w:after="60"/>
              <w:rPr>
                <w:b/>
                <w:i/>
                <w:szCs w:val="22"/>
              </w:rPr>
            </w:pPr>
            <w:r w:rsidRPr="007455E0">
              <w:rPr>
                <w:b/>
                <w:szCs w:val="22"/>
              </w:rPr>
              <w:t>Signatures</w:t>
            </w:r>
          </w:p>
        </w:tc>
        <w:tc>
          <w:tcPr>
            <w:tcW w:w="5580" w:type="dxa"/>
            <w:shd w:val="clear" w:color="auto" w:fill="auto"/>
          </w:tcPr>
          <w:p w14:paraId="24F7EA66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szCs w:val="22"/>
              </w:rPr>
              <w:t>Are there any unauthorized or forged signatures?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5E81A07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43B699E" w14:textId="77777777" w:rsidR="00BC343F" w:rsidRDefault="00BC343F" w:rsidP="00977304">
            <w:pPr>
              <w:jc w:val="center"/>
            </w:pPr>
          </w:p>
        </w:tc>
      </w:tr>
      <w:tr w:rsidR="00BC343F" w:rsidRPr="007455E0" w14:paraId="24FFCD37" w14:textId="77777777" w:rsidTr="00977304">
        <w:tc>
          <w:tcPr>
            <w:tcW w:w="4050" w:type="dxa"/>
            <w:shd w:val="clear" w:color="auto" w:fill="auto"/>
          </w:tcPr>
          <w:p w14:paraId="270E6EAC" w14:textId="77777777" w:rsidR="00BC343F" w:rsidRPr="007455E0" w:rsidRDefault="00BC343F" w:rsidP="00977304">
            <w:pPr>
              <w:spacing w:before="60" w:after="60"/>
              <w:rPr>
                <w:i/>
              </w:rPr>
            </w:pPr>
            <w:r w:rsidRPr="007455E0">
              <w:rPr>
                <w:b/>
                <w:szCs w:val="22"/>
              </w:rPr>
              <w:t>Endorsements</w:t>
            </w:r>
          </w:p>
        </w:tc>
        <w:tc>
          <w:tcPr>
            <w:tcW w:w="5580" w:type="dxa"/>
            <w:shd w:val="clear" w:color="auto" w:fill="auto"/>
          </w:tcPr>
          <w:p w14:paraId="6FB89426" w14:textId="77777777" w:rsidR="00BC343F" w:rsidRPr="007455E0" w:rsidRDefault="00BC343F" w:rsidP="00977304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Are there questionable handwritten endorsements or endorsements that do not appear to relate to the payee listed on the front of the check?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7186394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DB0DC4A" w14:textId="77777777" w:rsidR="00BC343F" w:rsidRDefault="00BC343F" w:rsidP="00977304">
            <w:pPr>
              <w:jc w:val="center"/>
            </w:pPr>
          </w:p>
        </w:tc>
      </w:tr>
    </w:tbl>
    <w:p w14:paraId="047071A7" w14:textId="77777777" w:rsidR="00BC343F" w:rsidRPr="00BC343F" w:rsidRDefault="00BC343F" w:rsidP="00BC343F"/>
    <w:p w14:paraId="68C4CFC2" w14:textId="77777777" w:rsidR="00BC343F" w:rsidRDefault="00BC343F" w:rsidP="00BC343F">
      <w:pPr>
        <w:numPr>
          <w:ilvl w:val="0"/>
          <w:numId w:val="3"/>
        </w:numPr>
        <w:spacing w:before="60" w:after="60"/>
        <w:rPr>
          <w:b/>
          <w:sz w:val="28"/>
        </w:rPr>
      </w:pPr>
      <w:r w:rsidRPr="007B651D">
        <w:rPr>
          <w:b/>
          <w:sz w:val="28"/>
        </w:rPr>
        <w:t>Monthly Independent R</w:t>
      </w:r>
      <w:r>
        <w:rPr>
          <w:b/>
          <w:sz w:val="28"/>
        </w:rPr>
        <w:t>eview of Cash Receipts</w:t>
      </w:r>
    </w:p>
    <w:p w14:paraId="6163393D" w14:textId="7BBA08D9" w:rsidR="00BC343F" w:rsidRPr="00BC343F" w:rsidRDefault="00BC343F" w:rsidP="00BC343F">
      <w:pPr>
        <w:spacing w:before="60" w:after="60"/>
        <w:ind w:left="-990"/>
        <w:rPr>
          <w:b/>
          <w:sz w:val="28"/>
        </w:rPr>
      </w:pPr>
      <w:r w:rsidRPr="00245073">
        <w:rPr>
          <w:szCs w:val="22"/>
        </w:rPr>
        <w:t>An employee, council member or 3</w:t>
      </w:r>
      <w:r w:rsidRPr="00245073">
        <w:rPr>
          <w:szCs w:val="22"/>
          <w:vertAlign w:val="superscript"/>
        </w:rPr>
        <w:t>rd</w:t>
      </w:r>
      <w:r>
        <w:rPr>
          <w:szCs w:val="22"/>
        </w:rPr>
        <w:t xml:space="preserve"> party</w:t>
      </w:r>
      <w:r w:rsidRPr="00245073">
        <w:rPr>
          <w:szCs w:val="22"/>
        </w:rPr>
        <w:t xml:space="preserve"> without access to the physical cash receipts or </w:t>
      </w:r>
      <w:r>
        <w:rPr>
          <w:szCs w:val="22"/>
        </w:rPr>
        <w:t xml:space="preserve">Point-Of-Sales (POS) </w:t>
      </w:r>
      <w:r w:rsidRPr="00245073">
        <w:rPr>
          <w:szCs w:val="22"/>
        </w:rPr>
        <w:t>System, should perform the review.</w:t>
      </w:r>
      <w:r w:rsidR="00BF0897">
        <w:rPr>
          <w:szCs w:val="22"/>
        </w:rPr>
        <w:t xml:space="preserve"> </w:t>
      </w:r>
      <w:r w:rsidRPr="00245073">
        <w:rPr>
          <w:szCs w:val="22"/>
        </w:rPr>
        <w:t>Compare cash receipts and deposits to sales invoices and POS</w:t>
      </w:r>
      <w:r>
        <w:rPr>
          <w:szCs w:val="22"/>
        </w:rPr>
        <w:t xml:space="preserve"> reports.</w:t>
      </w:r>
      <w:r w:rsidR="00BF0897">
        <w:rPr>
          <w:szCs w:val="22"/>
        </w:rPr>
        <w:t xml:space="preserve"> </w:t>
      </w:r>
      <w:r>
        <w:rPr>
          <w:szCs w:val="22"/>
        </w:rPr>
        <w:t xml:space="preserve">Review </w:t>
      </w:r>
      <w:r w:rsidRPr="00245073">
        <w:rPr>
          <w:szCs w:val="22"/>
        </w:rPr>
        <w:t>deposited items (i.e.</w:t>
      </w:r>
      <w:r>
        <w:rPr>
          <w:szCs w:val="22"/>
        </w:rPr>
        <w:t>,</w:t>
      </w:r>
      <w:r w:rsidRPr="00245073">
        <w:rPr>
          <w:szCs w:val="22"/>
        </w:rPr>
        <w:t xml:space="preserve"> checks deposited into the bank account) to customer payments posted within the accounting software.</w:t>
      </w:r>
    </w:p>
    <w:p w14:paraId="3697CB5A" w14:textId="77777777" w:rsidR="00BC343F" w:rsidRPr="00BC343F" w:rsidRDefault="00BC343F" w:rsidP="00BC343F">
      <w:pPr>
        <w:ind w:left="-990"/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580"/>
        <w:gridCol w:w="675"/>
        <w:gridCol w:w="675"/>
      </w:tblGrid>
      <w:tr w:rsidR="00BC343F" w:rsidRPr="00CF63EA" w14:paraId="3FA07061" w14:textId="77777777" w:rsidTr="00977304">
        <w:tc>
          <w:tcPr>
            <w:tcW w:w="4050" w:type="dxa"/>
            <w:shd w:val="clear" w:color="auto" w:fill="auto"/>
          </w:tcPr>
          <w:p w14:paraId="78610EA3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Focus on:</w:t>
            </w:r>
          </w:p>
        </w:tc>
        <w:tc>
          <w:tcPr>
            <w:tcW w:w="5580" w:type="dxa"/>
            <w:shd w:val="clear" w:color="auto" w:fill="auto"/>
          </w:tcPr>
          <w:p w14:paraId="3E7B8657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Ask these questions:</w:t>
            </w:r>
          </w:p>
        </w:tc>
        <w:tc>
          <w:tcPr>
            <w:tcW w:w="675" w:type="dxa"/>
            <w:shd w:val="clear" w:color="auto" w:fill="auto"/>
          </w:tcPr>
          <w:p w14:paraId="23DD8CA7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675" w:type="dxa"/>
            <w:shd w:val="clear" w:color="auto" w:fill="auto"/>
          </w:tcPr>
          <w:p w14:paraId="05699C5E" w14:textId="77777777" w:rsidR="00BC343F" w:rsidRPr="00CF63EA" w:rsidRDefault="00BC343F" w:rsidP="00977304">
            <w:pPr>
              <w:spacing w:before="60" w:after="60"/>
              <w:rPr>
                <w:b/>
                <w:sz w:val="26"/>
                <w:szCs w:val="26"/>
              </w:rPr>
            </w:pPr>
            <w:r w:rsidRPr="00CF63EA">
              <w:rPr>
                <w:b/>
                <w:sz w:val="26"/>
                <w:szCs w:val="26"/>
              </w:rPr>
              <w:t>No</w:t>
            </w:r>
          </w:p>
        </w:tc>
      </w:tr>
      <w:tr w:rsidR="00BC343F" w:rsidRPr="007455E0" w14:paraId="6219CE7E" w14:textId="77777777" w:rsidTr="00977304">
        <w:tc>
          <w:tcPr>
            <w:tcW w:w="4050" w:type="dxa"/>
            <w:shd w:val="clear" w:color="auto" w:fill="auto"/>
          </w:tcPr>
          <w:p w14:paraId="090415DA" w14:textId="77777777" w:rsidR="00BC343F" w:rsidRPr="007455E0" w:rsidRDefault="00BC343F" w:rsidP="00977304">
            <w:pPr>
              <w:spacing w:before="60" w:after="60"/>
              <w:rPr>
                <w:i/>
                <w:szCs w:val="22"/>
              </w:rPr>
            </w:pPr>
            <w:r w:rsidRPr="007455E0">
              <w:rPr>
                <w:b/>
                <w:szCs w:val="22"/>
              </w:rPr>
              <w:t>Cash Flow Decline</w:t>
            </w:r>
          </w:p>
        </w:tc>
        <w:tc>
          <w:tcPr>
            <w:tcW w:w="5580" w:type="dxa"/>
            <w:shd w:val="clear" w:color="auto" w:fill="auto"/>
          </w:tcPr>
          <w:p w14:paraId="7CC71326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Is there any suspicious decline in cash flow?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C369987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5ACD2A4" w14:textId="77777777" w:rsidR="00BC343F" w:rsidRDefault="00BC343F" w:rsidP="00977304">
            <w:pPr>
              <w:jc w:val="center"/>
            </w:pPr>
          </w:p>
        </w:tc>
      </w:tr>
      <w:tr w:rsidR="00BC343F" w:rsidRPr="007455E0" w14:paraId="029FD641" w14:textId="77777777" w:rsidTr="00977304">
        <w:tc>
          <w:tcPr>
            <w:tcW w:w="4050" w:type="dxa"/>
            <w:shd w:val="clear" w:color="auto" w:fill="auto"/>
          </w:tcPr>
          <w:p w14:paraId="1313ADB7" w14:textId="77777777" w:rsidR="00BC343F" w:rsidRPr="007455E0" w:rsidRDefault="00BC343F" w:rsidP="00977304">
            <w:pPr>
              <w:spacing w:before="60" w:after="60"/>
              <w:rPr>
                <w:b/>
                <w:i/>
                <w:szCs w:val="22"/>
              </w:rPr>
            </w:pPr>
            <w:r w:rsidRPr="007455E0">
              <w:rPr>
                <w:b/>
                <w:szCs w:val="22"/>
              </w:rPr>
              <w:t>Gross Profit Margins</w:t>
            </w:r>
          </w:p>
        </w:tc>
        <w:tc>
          <w:tcPr>
            <w:tcW w:w="5580" w:type="dxa"/>
            <w:shd w:val="clear" w:color="auto" w:fill="auto"/>
          </w:tcPr>
          <w:p w14:paraId="74FBF535" w14:textId="77777777" w:rsidR="00BC343F" w:rsidRPr="007455E0" w:rsidRDefault="00BC343F" w:rsidP="00977304">
            <w:pPr>
              <w:spacing w:before="60" w:after="60"/>
              <w:rPr>
                <w:szCs w:val="22"/>
              </w:rPr>
            </w:pPr>
            <w:r w:rsidRPr="007455E0">
              <w:rPr>
                <w:szCs w:val="22"/>
              </w:rPr>
              <w:t>Is there any suspicious lower-than-expected gross profit margins?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0FAE725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48237B4" w14:textId="77777777" w:rsidR="00BC343F" w:rsidRDefault="00BC343F" w:rsidP="00977304">
            <w:pPr>
              <w:jc w:val="center"/>
            </w:pPr>
          </w:p>
        </w:tc>
      </w:tr>
      <w:tr w:rsidR="00BC343F" w:rsidRPr="007455E0" w14:paraId="115AF731" w14:textId="77777777" w:rsidTr="00977304">
        <w:tc>
          <w:tcPr>
            <w:tcW w:w="4050" w:type="dxa"/>
            <w:shd w:val="clear" w:color="auto" w:fill="auto"/>
          </w:tcPr>
          <w:p w14:paraId="48EB1CC5" w14:textId="77777777" w:rsidR="00BC343F" w:rsidRPr="007455E0" w:rsidRDefault="00BC343F" w:rsidP="00977304">
            <w:pPr>
              <w:spacing w:before="60" w:after="60"/>
              <w:rPr>
                <w:b/>
                <w:i/>
                <w:szCs w:val="22"/>
              </w:rPr>
            </w:pPr>
            <w:r w:rsidRPr="007455E0">
              <w:rPr>
                <w:b/>
                <w:szCs w:val="22"/>
              </w:rPr>
              <w:t>Receivables</w:t>
            </w:r>
          </w:p>
        </w:tc>
        <w:tc>
          <w:tcPr>
            <w:tcW w:w="5580" w:type="dxa"/>
            <w:shd w:val="clear" w:color="auto" w:fill="auto"/>
          </w:tcPr>
          <w:p w14:paraId="7EBB86A5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szCs w:val="22"/>
              </w:rPr>
              <w:t>Are there any discrepancies between the dollar amount of cash and checks received, according to the sales report, to the actual cash and checks deposited per the bank deposit ticket?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B2975A1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0928DEA" w14:textId="77777777" w:rsidR="00BC343F" w:rsidRDefault="00BC343F" w:rsidP="00977304">
            <w:pPr>
              <w:jc w:val="center"/>
            </w:pPr>
          </w:p>
        </w:tc>
      </w:tr>
      <w:tr w:rsidR="00BC343F" w:rsidRPr="007455E0" w14:paraId="36DF08CE" w14:textId="77777777" w:rsidTr="00977304">
        <w:tc>
          <w:tcPr>
            <w:tcW w:w="4050" w:type="dxa"/>
            <w:shd w:val="clear" w:color="auto" w:fill="auto"/>
          </w:tcPr>
          <w:p w14:paraId="69C9DA95" w14:textId="77777777" w:rsidR="00BC343F" w:rsidRPr="007455E0" w:rsidRDefault="00BC343F" w:rsidP="00977304">
            <w:pPr>
              <w:spacing w:before="60" w:after="60"/>
              <w:rPr>
                <w:i/>
              </w:rPr>
            </w:pPr>
            <w:r w:rsidRPr="007455E0">
              <w:rPr>
                <w:b/>
                <w:szCs w:val="22"/>
              </w:rPr>
              <w:t>Payor Discrepancies</w:t>
            </w:r>
          </w:p>
        </w:tc>
        <w:tc>
          <w:tcPr>
            <w:tcW w:w="5580" w:type="dxa"/>
            <w:shd w:val="clear" w:color="auto" w:fill="auto"/>
          </w:tcPr>
          <w:p w14:paraId="7FD36BEA" w14:textId="77777777" w:rsidR="00BC343F" w:rsidRPr="007455E0" w:rsidRDefault="00BC343F" w:rsidP="00977304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Do the checks from payors appear to be different than the customer accounts in which the payments were posted?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DFFA2C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78D6816" w14:textId="77777777" w:rsidR="00BC343F" w:rsidRDefault="00BC343F" w:rsidP="00977304">
            <w:pPr>
              <w:jc w:val="center"/>
            </w:pPr>
          </w:p>
        </w:tc>
      </w:tr>
      <w:tr w:rsidR="00BC343F" w:rsidRPr="007455E0" w14:paraId="6BFAA583" w14:textId="77777777" w:rsidTr="00977304">
        <w:tc>
          <w:tcPr>
            <w:tcW w:w="4050" w:type="dxa"/>
            <w:shd w:val="clear" w:color="auto" w:fill="auto"/>
          </w:tcPr>
          <w:p w14:paraId="2561A77F" w14:textId="77777777" w:rsidR="00BC343F" w:rsidRPr="007455E0" w:rsidRDefault="00BC343F" w:rsidP="00977304">
            <w:pPr>
              <w:spacing w:before="60" w:after="60"/>
              <w:rPr>
                <w:b/>
                <w:szCs w:val="22"/>
              </w:rPr>
            </w:pPr>
            <w:r w:rsidRPr="007455E0">
              <w:rPr>
                <w:b/>
                <w:szCs w:val="22"/>
              </w:rPr>
              <w:t>POS Reports</w:t>
            </w:r>
          </w:p>
        </w:tc>
        <w:tc>
          <w:tcPr>
            <w:tcW w:w="5580" w:type="dxa"/>
            <w:shd w:val="clear" w:color="auto" w:fill="auto"/>
          </w:tcPr>
          <w:p w14:paraId="2E6372C1" w14:textId="77777777" w:rsidR="00BC343F" w:rsidRPr="007455E0" w:rsidRDefault="00BC343F" w:rsidP="00977304">
            <w:pPr>
              <w:pStyle w:val="ListParagraph"/>
              <w:spacing w:before="60" w:after="60"/>
              <w:ind w:left="0"/>
              <w:contextualSpacing/>
              <w:rPr>
                <w:szCs w:val="22"/>
              </w:rPr>
            </w:pPr>
            <w:r w:rsidRPr="007455E0">
              <w:rPr>
                <w:szCs w:val="22"/>
              </w:rPr>
              <w:t>If a POS system is used, do the POS reports show frequent or large no-sales, voids, or discounts?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83611C2" w14:textId="77777777" w:rsidR="00BC343F" w:rsidRDefault="00BC343F" w:rsidP="00977304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54096F" w14:textId="77777777" w:rsidR="00BC343F" w:rsidRDefault="00BC343F" w:rsidP="00977304">
            <w:pPr>
              <w:jc w:val="center"/>
            </w:pPr>
          </w:p>
        </w:tc>
      </w:tr>
    </w:tbl>
    <w:p w14:paraId="09AC89A8" w14:textId="77777777" w:rsidR="00A90BB6" w:rsidRDefault="00A90BB6" w:rsidP="00654423"/>
    <w:sectPr w:rsidR="00A90BB6" w:rsidSect="00E6202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800" w:left="1627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E3B8" w14:textId="77777777" w:rsidR="00BC343F" w:rsidRDefault="00BC343F" w:rsidP="00C60F03">
      <w:r>
        <w:separator/>
      </w:r>
    </w:p>
  </w:endnote>
  <w:endnote w:type="continuationSeparator" w:id="0">
    <w:p w14:paraId="04813499" w14:textId="77777777" w:rsidR="00BC343F" w:rsidRDefault="00BC343F" w:rsidP="00C6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F5E1" w14:textId="77777777" w:rsidR="00BC343F" w:rsidRDefault="000160D7" w:rsidP="00BC343F">
    <w:pPr>
      <w:pStyle w:val="Footer"/>
      <w:tabs>
        <w:tab w:val="left" w:pos="804"/>
        <w:tab w:val="center" w:pos="4770"/>
      </w:tabs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C21FB" wp14:editId="78306928">
          <wp:simplePos x="0" y="0"/>
          <wp:positionH relativeFrom="column">
            <wp:posOffset>4971415</wp:posOffset>
          </wp:positionH>
          <wp:positionV relativeFrom="paragraph">
            <wp:posOffset>-269875</wp:posOffset>
          </wp:positionV>
          <wp:extent cx="617220" cy="690359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9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43F0E9A" wp14:editId="32201984">
          <wp:simplePos x="0" y="0"/>
          <wp:positionH relativeFrom="column">
            <wp:posOffset>3543442</wp:posOffset>
          </wp:positionH>
          <wp:positionV relativeFrom="paragraph">
            <wp:posOffset>-208280</wp:posOffset>
          </wp:positionV>
          <wp:extent cx="892175" cy="692895"/>
          <wp:effectExtent l="0" t="0" r="3175" b="0"/>
          <wp:wrapSquare wrapText="bothSides"/>
          <wp:docPr id="2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9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43F">
      <w:t>Developed jointly by Eide Bailly and LMCIT</w:t>
    </w:r>
    <w:r w:rsidR="00BC343F" w:rsidRPr="00641B58">
      <w:rPr>
        <w:noProof/>
      </w:rPr>
      <w:t xml:space="preserve"> </w:t>
    </w:r>
  </w:p>
  <w:p w14:paraId="00EF9AD3" w14:textId="7AD7E41F" w:rsidR="006F2CE3" w:rsidRDefault="001D149C" w:rsidP="00BC343F">
    <w:pPr>
      <w:pStyle w:val="Footer"/>
    </w:pPr>
    <w:r>
      <w:t xml:space="preserve">Last updated: </w:t>
    </w:r>
    <w:r w:rsidR="00BF0897">
      <w:t>3</w:t>
    </w:r>
    <w:r>
      <w:t>/</w:t>
    </w:r>
    <w:r w:rsidR="00BF0897">
      <w:t>22</w:t>
    </w:r>
    <w:r>
      <w:t>/202</w:t>
    </w:r>
    <w:r w:rsidR="00BF0897">
      <w:t>3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3543" w14:textId="77777777" w:rsidR="006F2CE3" w:rsidRDefault="006F2CE3" w:rsidP="00C60F03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1" layoutInCell="1" allowOverlap="1" wp14:anchorId="09269B39" wp14:editId="291D8E15">
          <wp:simplePos x="0" y="0"/>
          <wp:positionH relativeFrom="page">
            <wp:posOffset>200025</wp:posOffset>
          </wp:positionH>
          <wp:positionV relativeFrom="page">
            <wp:posOffset>9525000</wp:posOffset>
          </wp:positionV>
          <wp:extent cx="7315200" cy="381000"/>
          <wp:effectExtent l="0" t="0" r="0" b="0"/>
          <wp:wrapTight wrapText="bothSides">
            <wp:wrapPolygon edited="0">
              <wp:start x="0" y="0"/>
              <wp:lineTo x="0" y="20520"/>
              <wp:lineTo x="21544" y="20520"/>
              <wp:lineTo x="21544" y="0"/>
              <wp:lineTo x="0" y="0"/>
            </wp:wrapPolygon>
          </wp:wrapTight>
          <wp:docPr id="3" name="Picture 2" descr="League of Minnesota Cities Insurance Trust&#10;145 University Avenue West&#10;St. Paul, Minnesota 55103&#10;Phone: 651-281-1200&#10;Toll Free: 800-925-1122&#10;Fax: 651-281-1298&#10;www.lmc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IT footer-thicker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6" t="17735" r="3218" b="23152"/>
                  <a:stretch/>
                </pic:blipFill>
                <pic:spPr bwMode="auto">
                  <a:xfrm>
                    <a:off x="0" y="0"/>
                    <a:ext cx="73152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9745" w14:textId="77777777" w:rsidR="00BC343F" w:rsidRDefault="00BC343F" w:rsidP="00C60F03">
      <w:r>
        <w:separator/>
      </w:r>
    </w:p>
  </w:footnote>
  <w:footnote w:type="continuationSeparator" w:id="0">
    <w:p w14:paraId="3673E2B8" w14:textId="77777777" w:rsidR="00BC343F" w:rsidRDefault="00BC343F" w:rsidP="00C6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DD76" w14:textId="77777777" w:rsidR="006F2CE3" w:rsidRDefault="00BC343F" w:rsidP="00FD5628">
    <w:pPr>
      <w:pStyle w:val="Header"/>
      <w:spacing w:before="320"/>
    </w:pPr>
    <w:r>
      <w:t>Checklist for performing Monthly Independent Reviews</w:t>
    </w:r>
    <w:r w:rsidR="006F2CE3">
      <w:t xml:space="preserve"> </w:t>
    </w:r>
  </w:p>
  <w:p w14:paraId="4CF3FCDD" w14:textId="77777777" w:rsidR="00BC343F" w:rsidRDefault="00BC343F" w:rsidP="00FD5628">
    <w:pPr>
      <w:pStyle w:val="Header"/>
      <w:spacing w:before="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670E" w14:textId="77777777" w:rsidR="006F2CE3" w:rsidRDefault="006F2CE3" w:rsidP="00C60F03">
    <w:pPr>
      <w:pStyle w:val="Header"/>
      <w:tabs>
        <w:tab w:val="clear" w:pos="4680"/>
        <w:tab w:val="clear" w:pos="9360"/>
      </w:tabs>
      <w:spacing w:after="1880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47FA244" wp14:editId="7F80BEDA">
          <wp:simplePos x="0" y="0"/>
          <wp:positionH relativeFrom="page">
            <wp:posOffset>352425</wp:posOffset>
          </wp:positionH>
          <wp:positionV relativeFrom="page">
            <wp:posOffset>351790</wp:posOffset>
          </wp:positionV>
          <wp:extent cx="6705600" cy="991235"/>
          <wp:effectExtent l="0" t="0" r="0" b="0"/>
          <wp:wrapNone/>
          <wp:docPr id="1" name="Picture 0" descr="League of Minnesota C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header-thick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9912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A0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C07F38"/>
    <w:multiLevelType w:val="hybridMultilevel"/>
    <w:tmpl w:val="FB00DDA0"/>
    <w:lvl w:ilvl="0" w:tplc="D71C0B62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 w15:restartNumberingAfterBreak="0">
    <w:nsid w:val="60543800"/>
    <w:multiLevelType w:val="hybridMultilevel"/>
    <w:tmpl w:val="381016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7216432">
    <w:abstractNumId w:val="0"/>
  </w:num>
  <w:num w:numId="2" w16cid:durableId="987173641">
    <w:abstractNumId w:val="2"/>
  </w:num>
  <w:num w:numId="3" w16cid:durableId="8327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F"/>
    <w:rsid w:val="00013035"/>
    <w:rsid w:val="000160D7"/>
    <w:rsid w:val="000D083C"/>
    <w:rsid w:val="00112E8A"/>
    <w:rsid w:val="001D149C"/>
    <w:rsid w:val="002D2EC8"/>
    <w:rsid w:val="00384581"/>
    <w:rsid w:val="00397B1C"/>
    <w:rsid w:val="005146FB"/>
    <w:rsid w:val="00550970"/>
    <w:rsid w:val="005620C4"/>
    <w:rsid w:val="00604AAD"/>
    <w:rsid w:val="006343C3"/>
    <w:rsid w:val="00654423"/>
    <w:rsid w:val="00692BF5"/>
    <w:rsid w:val="006F2CE3"/>
    <w:rsid w:val="00771567"/>
    <w:rsid w:val="00873419"/>
    <w:rsid w:val="008F54A8"/>
    <w:rsid w:val="00A90BB6"/>
    <w:rsid w:val="00AF70D8"/>
    <w:rsid w:val="00B13AD7"/>
    <w:rsid w:val="00B8014C"/>
    <w:rsid w:val="00B8651E"/>
    <w:rsid w:val="00B933CD"/>
    <w:rsid w:val="00BA673F"/>
    <w:rsid w:val="00BC343F"/>
    <w:rsid w:val="00BF0897"/>
    <w:rsid w:val="00C60F03"/>
    <w:rsid w:val="00D1639E"/>
    <w:rsid w:val="00DD6E4E"/>
    <w:rsid w:val="00E6202F"/>
    <w:rsid w:val="00EA744A"/>
    <w:rsid w:val="00FD2D34"/>
    <w:rsid w:val="00FD5628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A21076"/>
  <w15:docId w15:val="{6AEF9AFF-C823-4AFF-B573-3497F06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6E4E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6E4E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D6E4E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D6E4E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D6E4E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6E4E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6E4E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6E4E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E6202F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6202F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6202F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D6E4E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6E4E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6E4E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qFormat/>
    <w:rsid w:val="00DD6E4E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semiHidden/>
    <w:rsid w:val="00E6202F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"/>
    <w:semiHidden/>
    <w:unhideWhenUsed/>
    <w:qFormat/>
    <w:rsid w:val="00DD6E4E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E6202F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E4E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next w:val="Normal"/>
    <w:uiPriority w:val="1"/>
    <w:semiHidden/>
    <w:unhideWhenUsed/>
    <w:qFormat/>
    <w:rsid w:val="00DD6E4E"/>
    <w:pPr>
      <w:jc w:val="center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6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F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03"/>
    <w:rPr>
      <w:rFonts w:ascii="Tahoma" w:hAnsi="Tahoma" w:cs="Tahoma"/>
      <w:sz w:val="16"/>
      <w:szCs w:val="16"/>
    </w:rPr>
  </w:style>
  <w:style w:type="paragraph" w:styleId="NormalIndent">
    <w:name w:val="Normal Indent"/>
    <w:aliases w:val="Indent"/>
    <w:basedOn w:val="Normal"/>
    <w:qFormat/>
    <w:rsid w:val="00FD2D34"/>
    <w:pPr>
      <w:ind w:left="720"/>
    </w:pPr>
  </w:style>
  <w:style w:type="paragraph" w:styleId="ListParagraph">
    <w:name w:val="List Paragraph"/>
    <w:basedOn w:val="Normal"/>
    <w:uiPriority w:val="34"/>
    <w:qFormat/>
    <w:rsid w:val="00BC343F"/>
    <w:pPr>
      <w:ind w:left="720"/>
    </w:pPr>
  </w:style>
  <w:style w:type="character" w:styleId="Hyperlink">
    <w:name w:val="Hyperlink"/>
    <w:semiHidden/>
    <w:rsid w:val="00BC34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mc.org/resources/lmcit-property-crime-bond-and-petrofund-coverage-gui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mc-file1\public\League%20Info\Office\Templates-Workgroup\LMCIT%20Memo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8CF2-0BDF-4EF6-8617-890008D2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LMCIT Memo Template.dotm</Template>
  <TotalTime>21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Bopnd Coverage Checklist</vt:lpstr>
    </vt:vector>
  </TitlesOfParts>
  <Company>League of Minnesota Cities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 Coverage Checklist</dc:title>
  <dc:creator>League of Minnesota Cities</dc:creator>
  <cp:lastModifiedBy>Honeck, Laura</cp:lastModifiedBy>
  <cp:revision>6</cp:revision>
  <cp:lastPrinted>2008-04-21T21:10:00Z</cp:lastPrinted>
  <dcterms:created xsi:type="dcterms:W3CDTF">2019-10-14T16:13:00Z</dcterms:created>
  <dcterms:modified xsi:type="dcterms:W3CDTF">2023-03-22T19:24:00Z</dcterms:modified>
</cp:coreProperties>
</file>