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34819" w14:textId="77777777" w:rsidR="00AE0A12" w:rsidRDefault="008B1CF3">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2B610547B75E4DB883C6BEEDFD30EF6B"/>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ED1418">
            <w:rPr>
              <w:rStyle w:val="FooterChar"/>
              <w:rFonts w:ascii="Arial" w:eastAsia="Arial" w:hAnsi="Arial" w:cs="Arial"/>
              <w:b/>
              <w:sz w:val="28"/>
              <w:szCs w:val="28"/>
            </w:rPr>
            <w:t>Application Log for 60-Day Rule</w:t>
          </w:r>
        </w:sdtContent>
      </w:sdt>
      <w:r w:rsidR="007A4845">
        <w:rPr>
          <w:rStyle w:val="FooterChar"/>
          <w:rFonts w:ascii="Arial" w:eastAsia="Arial" w:hAnsi="Arial" w:cs="Arial"/>
          <w:b/>
          <w:sz w:val="28"/>
          <w:szCs w:val="28"/>
        </w:rPr>
        <w:t>, LMC Model</w:t>
      </w:r>
      <w:r w:rsidR="001B30D5">
        <w:rPr>
          <w:rStyle w:val="FooterChar"/>
          <w:rFonts w:ascii="Arial" w:eastAsia="Arial" w:hAnsi="Arial" w:cs="Arial"/>
          <w:b/>
          <w:sz w:val="28"/>
          <w:szCs w:val="28"/>
        </w:rPr>
        <w:t xml:space="preserve"> </w:t>
      </w:r>
      <w:r w:rsidR="005A57D6">
        <w:rPr>
          <w:rStyle w:val="FooterChar"/>
          <w:rFonts w:ascii="Arial" w:eastAsia="Arial" w:hAnsi="Arial" w:cs="Arial"/>
          <w:b/>
          <w:sz w:val="28"/>
          <w:szCs w:val="28"/>
        </w:rPr>
        <w:t>Form</w:t>
      </w:r>
    </w:p>
    <w:p w14:paraId="26B1E2CA" w14:textId="77777777" w:rsidR="007A4845" w:rsidRPr="00E41EF7" w:rsidRDefault="007A4845">
      <w:pPr>
        <w:rPr>
          <w:rStyle w:val="FooterChar"/>
          <w:rFonts w:eastAsia="Arial"/>
        </w:rPr>
      </w:pPr>
    </w:p>
    <w:p w14:paraId="115634F4" w14:textId="61808C40" w:rsidR="005A57D6" w:rsidRDefault="005A57D6" w:rsidP="005A57D6">
      <w:pPr>
        <w:rPr>
          <w:i/>
          <w:sz w:val="22"/>
          <w:szCs w:val="22"/>
        </w:rPr>
      </w:pPr>
      <w:r w:rsidRPr="007A4845">
        <w:rPr>
          <w:i/>
          <w:sz w:val="22"/>
          <w:szCs w:val="22"/>
        </w:rPr>
        <w:t xml:space="preserve">League </w:t>
      </w:r>
      <w:r w:rsidR="006C775E">
        <w:rPr>
          <w:i/>
          <w:sz w:val="22"/>
          <w:szCs w:val="22"/>
        </w:rPr>
        <w:t xml:space="preserve">staff thoughtfully develops </w:t>
      </w:r>
      <w:r w:rsidRPr="007A4845">
        <w:rPr>
          <w:i/>
          <w:sz w:val="22"/>
          <w:szCs w:val="22"/>
        </w:rPr>
        <w:t xml:space="preserve">models for </w:t>
      </w:r>
      <w:r w:rsidR="002C6729">
        <w:rPr>
          <w:i/>
          <w:sz w:val="22"/>
          <w:szCs w:val="22"/>
        </w:rPr>
        <w:t>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Pr>
          <w:i/>
          <w:sz w:val="22"/>
          <w:szCs w:val="22"/>
        </w:rPr>
        <w:t xml:space="preserve">in </w:t>
      </w:r>
      <w:hyperlink r:id="rId7" w:history="1">
        <w:r w:rsidR="00ED1418" w:rsidRPr="00ED1418">
          <w:rPr>
            <w:rStyle w:val="Hyperlink"/>
            <w:sz w:val="22"/>
            <w:szCs w:val="22"/>
          </w:rPr>
          <w:t>“Zoning Guide for Cities”.</w:t>
        </w:r>
      </w:hyperlink>
    </w:p>
    <w:p w14:paraId="333A38C0" w14:textId="77777777" w:rsidR="00ED1418" w:rsidRPr="00ED1418" w:rsidRDefault="00ED1418" w:rsidP="005A57D6"/>
    <w:p w14:paraId="5B9FFBDC" w14:textId="77777777" w:rsidR="002B7184" w:rsidRDefault="002B7184" w:rsidP="002B7184">
      <w:pPr>
        <w:ind w:left="630"/>
        <w:rPr>
          <w:b/>
        </w:rPr>
      </w:pPr>
      <w:r w:rsidRPr="00D07484">
        <w:rPr>
          <w:b/>
          <w:noProof/>
        </w:rPr>
        <w:drawing>
          <wp:anchor distT="0" distB="0" distL="114300" distR="114300" simplePos="0" relativeHeight="251659264" behindDoc="1" locked="0" layoutInCell="1" allowOverlap="1" wp14:anchorId="2AEEE9A2" wp14:editId="2A85AD6A">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238E0628" w14:textId="77777777" w:rsidR="00ED1418" w:rsidRDefault="00ED1418" w:rsidP="002B7184">
      <w:pPr>
        <w:ind w:left="630"/>
        <w:rPr>
          <w:b/>
        </w:rPr>
      </w:pPr>
    </w:p>
    <w:p w14:paraId="1A8F0134" w14:textId="77777777" w:rsidR="00ED1418" w:rsidRPr="00ED1418" w:rsidRDefault="00ED1418" w:rsidP="00E41EF7">
      <w:pPr>
        <w:ind w:left="630"/>
        <w:rPr>
          <w:i/>
          <w:sz w:val="22"/>
          <w:szCs w:val="22"/>
        </w:rPr>
      </w:pPr>
      <w:r w:rsidRPr="00ED1418">
        <w:rPr>
          <w:i/>
          <w:noProof/>
          <w:sz w:val="22"/>
          <w:szCs w:val="22"/>
        </w:rPr>
        <w:drawing>
          <wp:anchor distT="0" distB="0" distL="114300" distR="114300" simplePos="0" relativeHeight="251661312" behindDoc="1" locked="0" layoutInCell="1" allowOverlap="1" wp14:anchorId="655A92DF" wp14:editId="5EC16D4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Pr>
          <w:i/>
          <w:sz w:val="22"/>
          <w:szCs w:val="22"/>
        </w:rPr>
        <w:t xml:space="preserve">Boxes A, B, </w:t>
      </w:r>
      <w:r w:rsidRPr="00ED1418">
        <w:rPr>
          <w:i/>
          <w:sz w:val="22"/>
          <w:szCs w:val="22"/>
        </w:rPr>
        <w:t>C and E will always be filled out. Whether the other boxes are filled out depends on the city’s procedures and the fate of a specific application.</w:t>
      </w:r>
      <w:r w:rsidR="00E41EF7">
        <w:rPr>
          <w:i/>
          <w:sz w:val="22"/>
          <w:szCs w:val="22"/>
        </w:rPr>
        <w:t xml:space="preserve"> Cities may also wish to jot down the tentative dates of applicable planning commission and city council meetings when the application is received to assure the deadlines will be met.</w:t>
      </w:r>
    </w:p>
    <w:p w14:paraId="7B2DE51B" w14:textId="77777777" w:rsidR="002B7184" w:rsidRPr="00ED1418" w:rsidRDefault="002B7184" w:rsidP="005A57D6"/>
    <w:tbl>
      <w:tblPr>
        <w:tblStyle w:val="TableGrid"/>
        <w:tblW w:w="0" w:type="auto"/>
        <w:tblLook w:val="04A0" w:firstRow="1" w:lastRow="0" w:firstColumn="1" w:lastColumn="0" w:noHBand="0" w:noVBand="1"/>
      </w:tblPr>
      <w:tblGrid>
        <w:gridCol w:w="1165"/>
        <w:gridCol w:w="1712"/>
        <w:gridCol w:w="1439"/>
        <w:gridCol w:w="1799"/>
        <w:gridCol w:w="1350"/>
        <w:gridCol w:w="1350"/>
        <w:gridCol w:w="1530"/>
        <w:gridCol w:w="1350"/>
        <w:gridCol w:w="1255"/>
      </w:tblGrid>
      <w:tr w:rsidR="00ED1418" w:rsidRPr="00ED1418" w14:paraId="1296CB78" w14:textId="77777777" w:rsidTr="00ED1418">
        <w:tc>
          <w:tcPr>
            <w:tcW w:w="1165" w:type="dxa"/>
          </w:tcPr>
          <w:p w14:paraId="2ABB2602" w14:textId="77777777" w:rsidR="00ED1418" w:rsidRPr="00ED1418" w:rsidRDefault="00ED1418" w:rsidP="00ED1418">
            <w:pPr>
              <w:jc w:val="center"/>
              <w:rPr>
                <w:b/>
              </w:rPr>
            </w:pPr>
            <w:r w:rsidRPr="00ED1418">
              <w:rPr>
                <w:b/>
              </w:rPr>
              <w:t>A</w:t>
            </w:r>
          </w:p>
        </w:tc>
        <w:tc>
          <w:tcPr>
            <w:tcW w:w="1712" w:type="dxa"/>
          </w:tcPr>
          <w:p w14:paraId="68ADF576" w14:textId="77777777" w:rsidR="00ED1418" w:rsidRPr="00ED1418" w:rsidRDefault="00ED1418" w:rsidP="00ED1418">
            <w:pPr>
              <w:jc w:val="center"/>
              <w:rPr>
                <w:b/>
              </w:rPr>
            </w:pPr>
            <w:r w:rsidRPr="00ED1418">
              <w:rPr>
                <w:b/>
              </w:rPr>
              <w:t>B</w:t>
            </w:r>
          </w:p>
        </w:tc>
        <w:tc>
          <w:tcPr>
            <w:tcW w:w="1439" w:type="dxa"/>
          </w:tcPr>
          <w:p w14:paraId="74AEAECB" w14:textId="77777777" w:rsidR="00ED1418" w:rsidRPr="00ED1418" w:rsidRDefault="00ED1418" w:rsidP="00ED1418">
            <w:pPr>
              <w:jc w:val="center"/>
              <w:rPr>
                <w:b/>
              </w:rPr>
            </w:pPr>
            <w:r w:rsidRPr="00ED1418">
              <w:rPr>
                <w:b/>
              </w:rPr>
              <w:t>C</w:t>
            </w:r>
          </w:p>
        </w:tc>
        <w:tc>
          <w:tcPr>
            <w:tcW w:w="1799" w:type="dxa"/>
          </w:tcPr>
          <w:p w14:paraId="6C749668" w14:textId="77777777" w:rsidR="00ED1418" w:rsidRPr="00ED1418" w:rsidRDefault="00ED1418" w:rsidP="00ED1418">
            <w:pPr>
              <w:jc w:val="center"/>
              <w:rPr>
                <w:b/>
              </w:rPr>
            </w:pPr>
            <w:r w:rsidRPr="00ED1418">
              <w:rPr>
                <w:b/>
              </w:rPr>
              <w:t>D</w:t>
            </w:r>
          </w:p>
        </w:tc>
        <w:tc>
          <w:tcPr>
            <w:tcW w:w="1350" w:type="dxa"/>
          </w:tcPr>
          <w:p w14:paraId="4FBB0CF1" w14:textId="77777777" w:rsidR="00ED1418" w:rsidRPr="00ED1418" w:rsidRDefault="00ED1418" w:rsidP="00ED1418">
            <w:pPr>
              <w:jc w:val="center"/>
              <w:rPr>
                <w:b/>
              </w:rPr>
            </w:pPr>
            <w:r w:rsidRPr="00ED1418">
              <w:rPr>
                <w:b/>
              </w:rPr>
              <w:t>E</w:t>
            </w:r>
          </w:p>
        </w:tc>
        <w:tc>
          <w:tcPr>
            <w:tcW w:w="1350" w:type="dxa"/>
          </w:tcPr>
          <w:p w14:paraId="55EC4873" w14:textId="77777777" w:rsidR="00ED1418" w:rsidRPr="00ED1418" w:rsidRDefault="00ED1418" w:rsidP="00ED1418">
            <w:pPr>
              <w:jc w:val="center"/>
              <w:rPr>
                <w:b/>
              </w:rPr>
            </w:pPr>
            <w:r w:rsidRPr="00ED1418">
              <w:rPr>
                <w:b/>
              </w:rPr>
              <w:t>F</w:t>
            </w:r>
          </w:p>
        </w:tc>
        <w:tc>
          <w:tcPr>
            <w:tcW w:w="1530" w:type="dxa"/>
          </w:tcPr>
          <w:p w14:paraId="64A447E1" w14:textId="77777777" w:rsidR="00ED1418" w:rsidRPr="00ED1418" w:rsidRDefault="00ED1418" w:rsidP="00ED1418">
            <w:pPr>
              <w:jc w:val="center"/>
              <w:rPr>
                <w:b/>
              </w:rPr>
            </w:pPr>
            <w:r w:rsidRPr="00ED1418">
              <w:rPr>
                <w:b/>
              </w:rPr>
              <w:t>G</w:t>
            </w:r>
          </w:p>
        </w:tc>
        <w:tc>
          <w:tcPr>
            <w:tcW w:w="1350" w:type="dxa"/>
          </w:tcPr>
          <w:p w14:paraId="0D66765B" w14:textId="77777777" w:rsidR="00ED1418" w:rsidRPr="00ED1418" w:rsidRDefault="00ED1418" w:rsidP="00ED1418">
            <w:pPr>
              <w:jc w:val="center"/>
              <w:rPr>
                <w:b/>
              </w:rPr>
            </w:pPr>
            <w:r w:rsidRPr="00ED1418">
              <w:rPr>
                <w:b/>
              </w:rPr>
              <w:t>H</w:t>
            </w:r>
          </w:p>
        </w:tc>
        <w:tc>
          <w:tcPr>
            <w:tcW w:w="1255" w:type="dxa"/>
          </w:tcPr>
          <w:p w14:paraId="2ED73EF3" w14:textId="77777777" w:rsidR="00ED1418" w:rsidRPr="00ED1418" w:rsidRDefault="00ED1418" w:rsidP="00ED1418">
            <w:pPr>
              <w:jc w:val="center"/>
              <w:rPr>
                <w:b/>
              </w:rPr>
            </w:pPr>
            <w:r w:rsidRPr="00ED1418">
              <w:rPr>
                <w:b/>
              </w:rPr>
              <w:t>I</w:t>
            </w:r>
          </w:p>
        </w:tc>
      </w:tr>
      <w:tr w:rsidR="00ED1418" w:rsidRPr="00ED1418" w14:paraId="53C2ED40" w14:textId="77777777" w:rsidTr="00ED1418">
        <w:tc>
          <w:tcPr>
            <w:tcW w:w="1165" w:type="dxa"/>
          </w:tcPr>
          <w:p w14:paraId="3E08703E" w14:textId="77777777" w:rsidR="00ED1418" w:rsidRPr="00ED1418" w:rsidRDefault="00ED1418" w:rsidP="005A57D6">
            <w:pPr>
              <w:rPr>
                <w:sz w:val="20"/>
                <w:szCs w:val="20"/>
              </w:rPr>
            </w:pPr>
            <w:r w:rsidRPr="00ED1418">
              <w:rPr>
                <w:sz w:val="20"/>
                <w:szCs w:val="20"/>
              </w:rPr>
              <w:t>Application number</w:t>
            </w:r>
          </w:p>
        </w:tc>
        <w:tc>
          <w:tcPr>
            <w:tcW w:w="1712" w:type="dxa"/>
          </w:tcPr>
          <w:p w14:paraId="64C6D675" w14:textId="77777777" w:rsidR="00ED1418" w:rsidRPr="00ED1418" w:rsidRDefault="00ED1418" w:rsidP="005A57D6">
            <w:pPr>
              <w:rPr>
                <w:sz w:val="20"/>
                <w:szCs w:val="20"/>
              </w:rPr>
            </w:pPr>
            <w:r w:rsidRPr="00ED1418">
              <w:rPr>
                <w:sz w:val="20"/>
                <w:szCs w:val="20"/>
              </w:rPr>
              <w:t>Applicant</w:t>
            </w:r>
          </w:p>
        </w:tc>
        <w:tc>
          <w:tcPr>
            <w:tcW w:w="1439" w:type="dxa"/>
          </w:tcPr>
          <w:p w14:paraId="3B1E41D6" w14:textId="77777777" w:rsidR="00ED1418" w:rsidRPr="00ED1418" w:rsidRDefault="00ED1418" w:rsidP="005A57D6">
            <w:pPr>
              <w:rPr>
                <w:sz w:val="20"/>
                <w:szCs w:val="20"/>
              </w:rPr>
            </w:pPr>
            <w:r w:rsidRPr="00ED1418">
              <w:rPr>
                <w:sz w:val="20"/>
                <w:szCs w:val="20"/>
              </w:rPr>
              <w:t xml:space="preserve">Date </w:t>
            </w:r>
            <w:r>
              <w:rPr>
                <w:sz w:val="20"/>
                <w:szCs w:val="20"/>
              </w:rPr>
              <w:t xml:space="preserve">city received </w:t>
            </w:r>
            <w:r w:rsidRPr="00ED1418">
              <w:rPr>
                <w:sz w:val="20"/>
                <w:szCs w:val="20"/>
              </w:rPr>
              <w:t>application</w:t>
            </w:r>
          </w:p>
        </w:tc>
        <w:tc>
          <w:tcPr>
            <w:tcW w:w="1799" w:type="dxa"/>
          </w:tcPr>
          <w:p w14:paraId="12D087D6" w14:textId="77777777" w:rsidR="00ED1418" w:rsidRPr="00ED1418" w:rsidRDefault="00ED1418" w:rsidP="005A57D6">
            <w:pPr>
              <w:rPr>
                <w:sz w:val="20"/>
                <w:szCs w:val="20"/>
              </w:rPr>
            </w:pPr>
            <w:r w:rsidRPr="00ED1418">
              <w:rPr>
                <w:sz w:val="20"/>
                <w:szCs w:val="20"/>
              </w:rPr>
              <w:t xml:space="preserve">Date </w:t>
            </w:r>
            <w:r>
              <w:rPr>
                <w:sz w:val="20"/>
                <w:szCs w:val="20"/>
              </w:rPr>
              <w:t xml:space="preserve">missing information notice </w:t>
            </w:r>
            <w:r w:rsidR="00E41EF7">
              <w:rPr>
                <w:sz w:val="20"/>
                <w:szCs w:val="20"/>
              </w:rPr>
              <w:t xml:space="preserve">sent </w:t>
            </w:r>
            <w:r>
              <w:rPr>
                <w:sz w:val="20"/>
                <w:szCs w:val="20"/>
              </w:rPr>
              <w:t xml:space="preserve">to </w:t>
            </w:r>
            <w:r w:rsidRPr="00ED1418">
              <w:rPr>
                <w:sz w:val="20"/>
                <w:szCs w:val="20"/>
              </w:rPr>
              <w:t xml:space="preserve">applicant </w:t>
            </w:r>
          </w:p>
        </w:tc>
        <w:tc>
          <w:tcPr>
            <w:tcW w:w="1350" w:type="dxa"/>
          </w:tcPr>
          <w:p w14:paraId="64F7CF18" w14:textId="77777777" w:rsidR="00ED1418" w:rsidRPr="00ED1418" w:rsidRDefault="00ED1418" w:rsidP="005A57D6">
            <w:pPr>
              <w:rPr>
                <w:sz w:val="20"/>
                <w:szCs w:val="20"/>
              </w:rPr>
            </w:pPr>
            <w:r w:rsidRPr="00ED1418">
              <w:rPr>
                <w:sz w:val="20"/>
                <w:szCs w:val="20"/>
              </w:rPr>
              <w:t>Date 60-day time limit runs</w:t>
            </w:r>
          </w:p>
        </w:tc>
        <w:tc>
          <w:tcPr>
            <w:tcW w:w="1350" w:type="dxa"/>
          </w:tcPr>
          <w:p w14:paraId="11D0A7F5" w14:textId="77777777" w:rsidR="00ED1418" w:rsidRPr="00ED1418" w:rsidRDefault="00ED1418" w:rsidP="005A57D6">
            <w:pPr>
              <w:rPr>
                <w:sz w:val="20"/>
                <w:szCs w:val="20"/>
              </w:rPr>
            </w:pPr>
            <w:r w:rsidRPr="00ED1418">
              <w:rPr>
                <w:sz w:val="20"/>
                <w:szCs w:val="20"/>
              </w:rPr>
              <w:t>Date applicant was notified of extension</w:t>
            </w:r>
          </w:p>
        </w:tc>
        <w:tc>
          <w:tcPr>
            <w:tcW w:w="1530" w:type="dxa"/>
          </w:tcPr>
          <w:p w14:paraId="0CC82C7C" w14:textId="77777777" w:rsidR="00ED1418" w:rsidRPr="00ED1418" w:rsidRDefault="00ED1418" w:rsidP="005A57D6">
            <w:pPr>
              <w:rPr>
                <w:sz w:val="20"/>
                <w:szCs w:val="20"/>
              </w:rPr>
            </w:pPr>
            <w:r w:rsidRPr="00ED1418">
              <w:rPr>
                <w:sz w:val="20"/>
                <w:szCs w:val="20"/>
              </w:rPr>
              <w:t>Deadline for city action under extension or waiver</w:t>
            </w:r>
          </w:p>
        </w:tc>
        <w:tc>
          <w:tcPr>
            <w:tcW w:w="1350" w:type="dxa"/>
          </w:tcPr>
          <w:p w14:paraId="765F59A6" w14:textId="77777777" w:rsidR="00ED1418" w:rsidRPr="00ED1418" w:rsidRDefault="00ED1418" w:rsidP="005A57D6">
            <w:pPr>
              <w:rPr>
                <w:sz w:val="20"/>
                <w:szCs w:val="20"/>
              </w:rPr>
            </w:pPr>
            <w:r w:rsidRPr="00ED1418">
              <w:rPr>
                <w:sz w:val="20"/>
                <w:szCs w:val="20"/>
              </w:rPr>
              <w:t>Date city approved or denied the application</w:t>
            </w:r>
          </w:p>
        </w:tc>
        <w:tc>
          <w:tcPr>
            <w:tcW w:w="1255" w:type="dxa"/>
          </w:tcPr>
          <w:p w14:paraId="42FF35E2" w14:textId="77777777" w:rsidR="00ED1418" w:rsidRPr="00ED1418" w:rsidRDefault="00ED1418" w:rsidP="005A57D6">
            <w:pPr>
              <w:rPr>
                <w:sz w:val="20"/>
                <w:szCs w:val="20"/>
              </w:rPr>
            </w:pPr>
            <w:r w:rsidRPr="00ED1418">
              <w:rPr>
                <w:sz w:val="20"/>
                <w:szCs w:val="20"/>
              </w:rPr>
              <w:t>Date city sent response to applicant</w:t>
            </w:r>
          </w:p>
        </w:tc>
      </w:tr>
      <w:tr w:rsidR="00ED1418" w:rsidRPr="00ED1418" w14:paraId="027DF97E" w14:textId="77777777" w:rsidTr="00ED1418">
        <w:tc>
          <w:tcPr>
            <w:tcW w:w="1165" w:type="dxa"/>
          </w:tcPr>
          <w:p w14:paraId="78149B65" w14:textId="77777777" w:rsidR="00ED1418" w:rsidRDefault="00ED1418" w:rsidP="005A57D6"/>
          <w:p w14:paraId="499A6827" w14:textId="77777777" w:rsidR="00ED1418" w:rsidRPr="00ED1418" w:rsidRDefault="00ED1418" w:rsidP="005A57D6"/>
        </w:tc>
        <w:tc>
          <w:tcPr>
            <w:tcW w:w="1712" w:type="dxa"/>
          </w:tcPr>
          <w:p w14:paraId="439A80C0" w14:textId="77777777" w:rsidR="00ED1418" w:rsidRPr="00ED1418" w:rsidRDefault="00ED1418" w:rsidP="005A57D6"/>
        </w:tc>
        <w:tc>
          <w:tcPr>
            <w:tcW w:w="1439" w:type="dxa"/>
          </w:tcPr>
          <w:p w14:paraId="194A24C3" w14:textId="77777777" w:rsidR="00ED1418" w:rsidRPr="00ED1418" w:rsidRDefault="00ED1418" w:rsidP="005A57D6"/>
        </w:tc>
        <w:tc>
          <w:tcPr>
            <w:tcW w:w="1799" w:type="dxa"/>
          </w:tcPr>
          <w:p w14:paraId="4C710C9A" w14:textId="77777777" w:rsidR="00ED1418" w:rsidRPr="00ED1418" w:rsidRDefault="00ED1418" w:rsidP="005A57D6"/>
        </w:tc>
        <w:tc>
          <w:tcPr>
            <w:tcW w:w="1350" w:type="dxa"/>
          </w:tcPr>
          <w:p w14:paraId="27FD5FE4" w14:textId="77777777" w:rsidR="00ED1418" w:rsidRPr="00ED1418" w:rsidRDefault="00ED1418" w:rsidP="005A57D6"/>
        </w:tc>
        <w:tc>
          <w:tcPr>
            <w:tcW w:w="1350" w:type="dxa"/>
          </w:tcPr>
          <w:p w14:paraId="3E546F8A" w14:textId="77777777" w:rsidR="00ED1418" w:rsidRPr="00ED1418" w:rsidRDefault="00ED1418" w:rsidP="005A57D6"/>
        </w:tc>
        <w:tc>
          <w:tcPr>
            <w:tcW w:w="1530" w:type="dxa"/>
          </w:tcPr>
          <w:p w14:paraId="4847E670" w14:textId="77777777" w:rsidR="00ED1418" w:rsidRPr="00ED1418" w:rsidRDefault="00ED1418" w:rsidP="005A57D6"/>
        </w:tc>
        <w:tc>
          <w:tcPr>
            <w:tcW w:w="1350" w:type="dxa"/>
          </w:tcPr>
          <w:p w14:paraId="09602058" w14:textId="77777777" w:rsidR="00ED1418" w:rsidRPr="00ED1418" w:rsidRDefault="00ED1418" w:rsidP="005A57D6"/>
        </w:tc>
        <w:tc>
          <w:tcPr>
            <w:tcW w:w="1255" w:type="dxa"/>
          </w:tcPr>
          <w:p w14:paraId="47C598A6" w14:textId="77777777" w:rsidR="00ED1418" w:rsidRPr="00ED1418" w:rsidRDefault="00ED1418" w:rsidP="005A57D6"/>
        </w:tc>
      </w:tr>
      <w:tr w:rsidR="00ED1418" w:rsidRPr="00ED1418" w14:paraId="357876BA" w14:textId="77777777" w:rsidTr="00ED1418">
        <w:tc>
          <w:tcPr>
            <w:tcW w:w="1165" w:type="dxa"/>
          </w:tcPr>
          <w:p w14:paraId="35D8FA71" w14:textId="77777777" w:rsidR="00ED1418" w:rsidRDefault="00ED1418" w:rsidP="005A57D6"/>
          <w:p w14:paraId="600C8636" w14:textId="77777777" w:rsidR="00ED1418" w:rsidRPr="00ED1418" w:rsidRDefault="00ED1418" w:rsidP="005A57D6"/>
        </w:tc>
        <w:tc>
          <w:tcPr>
            <w:tcW w:w="1712" w:type="dxa"/>
          </w:tcPr>
          <w:p w14:paraId="5B85A932" w14:textId="77777777" w:rsidR="00ED1418" w:rsidRPr="00ED1418" w:rsidRDefault="00ED1418" w:rsidP="005A57D6"/>
        </w:tc>
        <w:tc>
          <w:tcPr>
            <w:tcW w:w="1439" w:type="dxa"/>
          </w:tcPr>
          <w:p w14:paraId="31B8CC5D" w14:textId="77777777" w:rsidR="00ED1418" w:rsidRPr="00ED1418" w:rsidRDefault="00ED1418" w:rsidP="005A57D6"/>
        </w:tc>
        <w:tc>
          <w:tcPr>
            <w:tcW w:w="1799" w:type="dxa"/>
          </w:tcPr>
          <w:p w14:paraId="1984E687" w14:textId="77777777" w:rsidR="00ED1418" w:rsidRPr="00ED1418" w:rsidRDefault="00ED1418" w:rsidP="005A57D6"/>
        </w:tc>
        <w:tc>
          <w:tcPr>
            <w:tcW w:w="1350" w:type="dxa"/>
          </w:tcPr>
          <w:p w14:paraId="1A8C7B3F" w14:textId="77777777" w:rsidR="00ED1418" w:rsidRPr="00ED1418" w:rsidRDefault="00ED1418" w:rsidP="005A57D6"/>
        </w:tc>
        <w:tc>
          <w:tcPr>
            <w:tcW w:w="1350" w:type="dxa"/>
          </w:tcPr>
          <w:p w14:paraId="1A60EE30" w14:textId="77777777" w:rsidR="00ED1418" w:rsidRPr="00ED1418" w:rsidRDefault="00ED1418" w:rsidP="005A57D6"/>
        </w:tc>
        <w:tc>
          <w:tcPr>
            <w:tcW w:w="1530" w:type="dxa"/>
          </w:tcPr>
          <w:p w14:paraId="139E7A29" w14:textId="77777777" w:rsidR="00ED1418" w:rsidRPr="00ED1418" w:rsidRDefault="00ED1418" w:rsidP="005A57D6"/>
        </w:tc>
        <w:tc>
          <w:tcPr>
            <w:tcW w:w="1350" w:type="dxa"/>
          </w:tcPr>
          <w:p w14:paraId="41C13EC0" w14:textId="77777777" w:rsidR="00ED1418" w:rsidRPr="00ED1418" w:rsidRDefault="00ED1418" w:rsidP="005A57D6"/>
        </w:tc>
        <w:tc>
          <w:tcPr>
            <w:tcW w:w="1255" w:type="dxa"/>
          </w:tcPr>
          <w:p w14:paraId="2D912D02" w14:textId="77777777" w:rsidR="00ED1418" w:rsidRPr="00ED1418" w:rsidRDefault="00ED1418" w:rsidP="005A57D6"/>
        </w:tc>
      </w:tr>
      <w:tr w:rsidR="00ED1418" w:rsidRPr="00ED1418" w14:paraId="53D302DC" w14:textId="77777777" w:rsidTr="00ED1418">
        <w:tc>
          <w:tcPr>
            <w:tcW w:w="1165" w:type="dxa"/>
          </w:tcPr>
          <w:p w14:paraId="696F7E9B" w14:textId="77777777" w:rsidR="00ED1418" w:rsidRDefault="00ED1418" w:rsidP="005A57D6"/>
          <w:p w14:paraId="7558F39F" w14:textId="77777777" w:rsidR="00ED1418" w:rsidRPr="00ED1418" w:rsidRDefault="00ED1418" w:rsidP="005A57D6"/>
        </w:tc>
        <w:tc>
          <w:tcPr>
            <w:tcW w:w="1712" w:type="dxa"/>
          </w:tcPr>
          <w:p w14:paraId="70870981" w14:textId="77777777" w:rsidR="00ED1418" w:rsidRPr="00ED1418" w:rsidRDefault="00ED1418" w:rsidP="005A57D6"/>
        </w:tc>
        <w:tc>
          <w:tcPr>
            <w:tcW w:w="1439" w:type="dxa"/>
          </w:tcPr>
          <w:p w14:paraId="078485B0" w14:textId="77777777" w:rsidR="00ED1418" w:rsidRPr="00ED1418" w:rsidRDefault="00ED1418" w:rsidP="005A57D6"/>
        </w:tc>
        <w:tc>
          <w:tcPr>
            <w:tcW w:w="1799" w:type="dxa"/>
          </w:tcPr>
          <w:p w14:paraId="0209731A" w14:textId="77777777" w:rsidR="00ED1418" w:rsidRPr="00ED1418" w:rsidRDefault="00ED1418" w:rsidP="005A57D6"/>
        </w:tc>
        <w:tc>
          <w:tcPr>
            <w:tcW w:w="1350" w:type="dxa"/>
          </w:tcPr>
          <w:p w14:paraId="3F916ED5" w14:textId="77777777" w:rsidR="00ED1418" w:rsidRPr="00ED1418" w:rsidRDefault="00ED1418" w:rsidP="005A57D6"/>
        </w:tc>
        <w:tc>
          <w:tcPr>
            <w:tcW w:w="1350" w:type="dxa"/>
          </w:tcPr>
          <w:p w14:paraId="4955B8AC" w14:textId="77777777" w:rsidR="00ED1418" w:rsidRPr="00ED1418" w:rsidRDefault="00ED1418" w:rsidP="005A57D6"/>
        </w:tc>
        <w:tc>
          <w:tcPr>
            <w:tcW w:w="1530" w:type="dxa"/>
          </w:tcPr>
          <w:p w14:paraId="789A806A" w14:textId="77777777" w:rsidR="00ED1418" w:rsidRPr="00ED1418" w:rsidRDefault="00ED1418" w:rsidP="005A57D6"/>
        </w:tc>
        <w:tc>
          <w:tcPr>
            <w:tcW w:w="1350" w:type="dxa"/>
          </w:tcPr>
          <w:p w14:paraId="5A3D4BDB" w14:textId="77777777" w:rsidR="00ED1418" w:rsidRPr="00ED1418" w:rsidRDefault="00ED1418" w:rsidP="005A57D6"/>
        </w:tc>
        <w:tc>
          <w:tcPr>
            <w:tcW w:w="1255" w:type="dxa"/>
          </w:tcPr>
          <w:p w14:paraId="7C93F961" w14:textId="77777777" w:rsidR="00ED1418" w:rsidRPr="00ED1418" w:rsidRDefault="00ED1418" w:rsidP="005A57D6"/>
        </w:tc>
      </w:tr>
      <w:tr w:rsidR="00ED1418" w:rsidRPr="00ED1418" w14:paraId="2D90D682" w14:textId="77777777" w:rsidTr="00ED1418">
        <w:tc>
          <w:tcPr>
            <w:tcW w:w="1165" w:type="dxa"/>
          </w:tcPr>
          <w:p w14:paraId="61219F3E" w14:textId="77777777" w:rsidR="00ED1418" w:rsidRDefault="00ED1418" w:rsidP="005A57D6"/>
          <w:p w14:paraId="61E6E7E3" w14:textId="77777777" w:rsidR="00ED1418" w:rsidRPr="00ED1418" w:rsidRDefault="00ED1418" w:rsidP="005A57D6"/>
        </w:tc>
        <w:tc>
          <w:tcPr>
            <w:tcW w:w="1712" w:type="dxa"/>
          </w:tcPr>
          <w:p w14:paraId="725ACB8D" w14:textId="77777777" w:rsidR="00ED1418" w:rsidRPr="00ED1418" w:rsidRDefault="00ED1418" w:rsidP="005A57D6"/>
        </w:tc>
        <w:tc>
          <w:tcPr>
            <w:tcW w:w="1439" w:type="dxa"/>
          </w:tcPr>
          <w:p w14:paraId="203FC321" w14:textId="77777777" w:rsidR="00ED1418" w:rsidRPr="00ED1418" w:rsidRDefault="00ED1418" w:rsidP="005A57D6"/>
        </w:tc>
        <w:tc>
          <w:tcPr>
            <w:tcW w:w="1799" w:type="dxa"/>
          </w:tcPr>
          <w:p w14:paraId="492D99D6" w14:textId="77777777" w:rsidR="00ED1418" w:rsidRPr="00ED1418" w:rsidRDefault="00ED1418" w:rsidP="005A57D6"/>
        </w:tc>
        <w:tc>
          <w:tcPr>
            <w:tcW w:w="1350" w:type="dxa"/>
          </w:tcPr>
          <w:p w14:paraId="75738034" w14:textId="77777777" w:rsidR="00ED1418" w:rsidRPr="00ED1418" w:rsidRDefault="00ED1418" w:rsidP="005A57D6"/>
        </w:tc>
        <w:tc>
          <w:tcPr>
            <w:tcW w:w="1350" w:type="dxa"/>
          </w:tcPr>
          <w:p w14:paraId="6B0A4672" w14:textId="77777777" w:rsidR="00ED1418" w:rsidRPr="00ED1418" w:rsidRDefault="00ED1418" w:rsidP="005A57D6"/>
        </w:tc>
        <w:tc>
          <w:tcPr>
            <w:tcW w:w="1530" w:type="dxa"/>
          </w:tcPr>
          <w:p w14:paraId="043D717D" w14:textId="77777777" w:rsidR="00ED1418" w:rsidRPr="00ED1418" w:rsidRDefault="00ED1418" w:rsidP="005A57D6"/>
        </w:tc>
        <w:tc>
          <w:tcPr>
            <w:tcW w:w="1350" w:type="dxa"/>
          </w:tcPr>
          <w:p w14:paraId="44377571" w14:textId="77777777" w:rsidR="00ED1418" w:rsidRPr="00ED1418" w:rsidRDefault="00ED1418" w:rsidP="005A57D6"/>
        </w:tc>
        <w:tc>
          <w:tcPr>
            <w:tcW w:w="1255" w:type="dxa"/>
          </w:tcPr>
          <w:p w14:paraId="1EA15043" w14:textId="77777777" w:rsidR="00ED1418" w:rsidRPr="00ED1418" w:rsidRDefault="00ED1418" w:rsidP="005A57D6"/>
        </w:tc>
      </w:tr>
    </w:tbl>
    <w:p w14:paraId="28820D99" w14:textId="77777777" w:rsidR="00ED1418" w:rsidRDefault="00ED1418" w:rsidP="005A57D6"/>
    <w:p w14:paraId="20506E4A" w14:textId="77777777" w:rsidR="00ED1418" w:rsidRDefault="00ED1418" w:rsidP="00E41EF7">
      <w:pPr>
        <w:rPr>
          <w:i/>
          <w:sz w:val="22"/>
          <w:szCs w:val="22"/>
        </w:rPr>
      </w:pPr>
      <w:r w:rsidRPr="00970833">
        <w:rPr>
          <w:b/>
          <w:i/>
          <w:noProof/>
          <w:sz w:val="22"/>
          <w:szCs w:val="22"/>
        </w:rPr>
        <w:drawing>
          <wp:anchor distT="0" distB="0" distL="114300" distR="114300" simplePos="0" relativeHeight="251663360" behindDoc="1" locked="0" layoutInCell="1" allowOverlap="1" wp14:anchorId="3D89DE5C" wp14:editId="6D2457A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E41EF7" w:rsidRPr="00970833">
        <w:rPr>
          <w:b/>
          <w:i/>
          <w:sz w:val="22"/>
          <w:szCs w:val="22"/>
        </w:rPr>
        <w:t>Column D:</w:t>
      </w:r>
      <w:r w:rsidR="00E41EF7" w:rsidRPr="00E41EF7">
        <w:rPr>
          <w:i/>
          <w:sz w:val="22"/>
          <w:szCs w:val="22"/>
        </w:rPr>
        <w:t xml:space="preserve"> If the city gives such notice, it must do so within 15 business days after the date in Box C. If the time clock is “restarted” by such notice, assign the application a new number and record all subsequent deadlines on a new line.</w:t>
      </w:r>
    </w:p>
    <w:p w14:paraId="48A3E034" w14:textId="77777777" w:rsidR="00E41EF7" w:rsidRPr="00E41EF7" w:rsidRDefault="00E41EF7" w:rsidP="00E41EF7">
      <w:pPr>
        <w:ind w:firstLine="630"/>
        <w:rPr>
          <w:i/>
          <w:sz w:val="22"/>
          <w:szCs w:val="22"/>
        </w:rPr>
      </w:pPr>
      <w:r w:rsidRPr="00970833">
        <w:rPr>
          <w:b/>
          <w:i/>
          <w:sz w:val="22"/>
          <w:szCs w:val="22"/>
        </w:rPr>
        <w:t>Column E:</w:t>
      </w:r>
      <w:r w:rsidRPr="00E41EF7">
        <w:rPr>
          <w:i/>
          <w:sz w:val="22"/>
          <w:szCs w:val="22"/>
        </w:rPr>
        <w:t xml:space="preserve"> To calculate the 60-day limit include all calendar days.</w:t>
      </w:r>
    </w:p>
    <w:p w14:paraId="51DD0421" w14:textId="77777777" w:rsidR="00E41EF7" w:rsidRDefault="00E41EF7" w:rsidP="00E41EF7">
      <w:pPr>
        <w:ind w:left="720" w:hanging="90"/>
        <w:rPr>
          <w:i/>
          <w:sz w:val="22"/>
          <w:szCs w:val="22"/>
        </w:rPr>
      </w:pPr>
      <w:r w:rsidRPr="00970833">
        <w:rPr>
          <w:b/>
          <w:i/>
          <w:sz w:val="22"/>
          <w:szCs w:val="22"/>
        </w:rPr>
        <w:t>Column F</w:t>
      </w:r>
      <w:r w:rsidRPr="00E41EF7">
        <w:rPr>
          <w:i/>
          <w:sz w:val="22"/>
          <w:szCs w:val="22"/>
        </w:rPr>
        <w:t xml:space="preserve">: If the city opts for an extension, it must notify the applicant before the 60-day time period ends. The date in Box F must come </w:t>
      </w:r>
      <w:r w:rsidRPr="00E41EF7">
        <w:rPr>
          <w:i/>
          <w:sz w:val="22"/>
          <w:szCs w:val="22"/>
          <w:u w:val="single"/>
        </w:rPr>
        <w:t>before</w:t>
      </w:r>
      <w:r w:rsidRPr="00E41EF7">
        <w:rPr>
          <w:i/>
          <w:sz w:val="22"/>
          <w:szCs w:val="22"/>
        </w:rPr>
        <w:t xml:space="preserve"> the date in Box E</w:t>
      </w:r>
      <w:r>
        <w:rPr>
          <w:i/>
          <w:sz w:val="22"/>
          <w:szCs w:val="22"/>
        </w:rPr>
        <w:t>.</w:t>
      </w:r>
    </w:p>
    <w:p w14:paraId="26F44CA4" w14:textId="77777777" w:rsidR="00E41EF7" w:rsidRDefault="00E41EF7" w:rsidP="00E41EF7">
      <w:pPr>
        <w:ind w:left="720" w:hanging="90"/>
        <w:rPr>
          <w:i/>
          <w:sz w:val="22"/>
          <w:szCs w:val="22"/>
        </w:rPr>
      </w:pPr>
      <w:r w:rsidRPr="00970833">
        <w:rPr>
          <w:b/>
          <w:i/>
          <w:sz w:val="22"/>
          <w:szCs w:val="22"/>
        </w:rPr>
        <w:t>Column H:</w:t>
      </w:r>
      <w:r>
        <w:rPr>
          <w:i/>
          <w:sz w:val="22"/>
          <w:szCs w:val="22"/>
        </w:rPr>
        <w:t xml:space="preserve"> The city must act before the deadline. The date in Box H must come </w:t>
      </w:r>
      <w:r w:rsidRPr="00E41EF7">
        <w:rPr>
          <w:i/>
          <w:sz w:val="22"/>
          <w:szCs w:val="22"/>
          <w:u w:val="single"/>
        </w:rPr>
        <w:t>before</w:t>
      </w:r>
      <w:r>
        <w:rPr>
          <w:i/>
          <w:sz w:val="22"/>
          <w:szCs w:val="22"/>
        </w:rPr>
        <w:t xml:space="preserve"> the date in Box E, or if applicable, Box G.</w:t>
      </w:r>
    </w:p>
    <w:p w14:paraId="052D0394" w14:textId="77777777" w:rsidR="00003DF6" w:rsidRPr="00E41EF7" w:rsidRDefault="00E41EF7" w:rsidP="00E41EF7">
      <w:pPr>
        <w:ind w:left="720" w:hanging="90"/>
        <w:rPr>
          <w:i/>
          <w:sz w:val="22"/>
          <w:szCs w:val="22"/>
        </w:rPr>
      </w:pPr>
      <w:r w:rsidRPr="00970833">
        <w:rPr>
          <w:b/>
          <w:i/>
          <w:sz w:val="22"/>
          <w:szCs w:val="22"/>
        </w:rPr>
        <w:t>Column I:</w:t>
      </w:r>
      <w:r>
        <w:rPr>
          <w:i/>
          <w:sz w:val="22"/>
          <w:szCs w:val="22"/>
        </w:rPr>
        <w:t xml:space="preserve"> List the date that the city sent notice of its action to the applicant. It is best if the city not only takes action within the time limit, but also notifies the applicant before the time limit runs.</w:t>
      </w:r>
    </w:p>
    <w:sectPr w:rsidR="00003DF6" w:rsidRPr="00E41EF7" w:rsidSect="001B30D5">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B8A38" w14:textId="77777777" w:rsidR="00947615" w:rsidRDefault="00947615" w:rsidP="007A4845">
      <w:r>
        <w:separator/>
      </w:r>
    </w:p>
  </w:endnote>
  <w:endnote w:type="continuationSeparator" w:id="0">
    <w:p w14:paraId="402CB45B" w14:textId="77777777" w:rsidR="00947615" w:rsidRDefault="00947615"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84BDA" w14:textId="77777777" w:rsidR="008B1CF3" w:rsidRDefault="008B1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C1D55" w14:textId="419B48C4" w:rsidR="001624F8" w:rsidRPr="001624F8" w:rsidRDefault="001624F8" w:rsidP="00901CF5">
    <w:pPr>
      <w:tabs>
        <w:tab w:val="right" w:pos="1197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sidR="001B30D5">
      <w:rPr>
        <w:rFonts w:ascii="Arial" w:eastAsia="Arial" w:hAnsi="Arial" w:cs="Arial"/>
        <w:sz w:val="15"/>
        <w:szCs w:val="15"/>
      </w:rPr>
      <w:t xml:space="preserve">Model </w:t>
    </w:r>
    <w:r w:rsidR="000A44C6">
      <w:rPr>
        <w:rFonts w:ascii="Arial" w:eastAsia="Arial" w:hAnsi="Arial" w:cs="Arial"/>
        <w:sz w:val="15"/>
        <w:szCs w:val="15"/>
      </w:rPr>
      <w:t>Form</w:t>
    </w:r>
    <w:r w:rsidR="006C775E">
      <w:rPr>
        <w:rFonts w:ascii="Arial" w:eastAsia="Arial" w:hAnsi="Arial" w:cs="Arial"/>
        <w:sz w:val="15"/>
        <w:szCs w:val="15"/>
      </w:rPr>
      <w:t>:</w:t>
    </w:r>
    <w:r w:rsidR="00901CF5">
      <w:rPr>
        <w:rFonts w:ascii="Arial" w:eastAsia="Arial" w:hAnsi="Arial" w:cs="Arial"/>
        <w:sz w:val="15"/>
        <w:szCs w:val="15"/>
      </w:rPr>
      <w:tab/>
    </w:r>
    <w:sdt>
      <w:sdtPr>
        <w:rPr>
          <w:rFonts w:ascii="Arial" w:eastAsia="Arial" w:hAnsi="Arial" w:cs="Arial"/>
          <w:sz w:val="15"/>
          <w:szCs w:val="15"/>
        </w:rPr>
        <w:alias w:val="Date"/>
        <w:tag w:val="Date"/>
        <w:id w:val="-1794050930"/>
        <w:date w:fullDate="2024-07-26T00:00:00Z">
          <w:dateFormat w:val="M/d/yyyy"/>
          <w:lid w:val="en-US"/>
          <w:storeMappedDataAs w:val="dateTime"/>
          <w:calendar w:val="gregorian"/>
        </w:date>
      </w:sdtPr>
      <w:sdtEndPr/>
      <w:sdtContent>
        <w:r w:rsidR="008B1CF3">
          <w:rPr>
            <w:rFonts w:ascii="Arial" w:eastAsia="Arial" w:hAnsi="Arial" w:cs="Arial"/>
            <w:sz w:val="15"/>
            <w:szCs w:val="15"/>
          </w:rPr>
          <w:t>7/26/2024</w:t>
        </w:r>
      </w:sdtContent>
    </w:sdt>
  </w:p>
  <w:p w14:paraId="043DFD68" w14:textId="77777777" w:rsidR="001624F8" w:rsidRPr="001624F8" w:rsidRDefault="008B1CF3" w:rsidP="00901CF5">
    <w:pPr>
      <w:tabs>
        <w:tab w:val="right" w:pos="1197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ED1418">
          <w:rPr>
            <w:rFonts w:ascii="Arial" w:eastAsia="Arial" w:hAnsi="Arial" w:cs="Arial"/>
            <w:sz w:val="15"/>
            <w:szCs w:val="15"/>
          </w:rPr>
          <w:t>Application Log for 60-Day Rule</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947615">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363E9" w14:textId="77777777" w:rsidR="008B1CF3" w:rsidRDefault="008B1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3482F" w14:textId="77777777" w:rsidR="00947615" w:rsidRDefault="00947615" w:rsidP="007A4845">
      <w:r>
        <w:separator/>
      </w:r>
    </w:p>
  </w:footnote>
  <w:footnote w:type="continuationSeparator" w:id="0">
    <w:p w14:paraId="5099E895" w14:textId="77777777" w:rsidR="00947615" w:rsidRDefault="00947615" w:rsidP="007A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6B4BA" w14:textId="77777777" w:rsidR="008B1CF3" w:rsidRDefault="008B1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F9D8B" w14:textId="77777777" w:rsidR="008B1CF3" w:rsidRDefault="008B1C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547B" w14:textId="77777777" w:rsidR="008B1CF3" w:rsidRDefault="008B1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A08B6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261377932">
    <w:abstractNumId w:val="1"/>
  </w:num>
  <w:num w:numId="2" w16cid:durableId="43813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1"/>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15"/>
    <w:rsid w:val="00003DF6"/>
    <w:rsid w:val="00054C74"/>
    <w:rsid w:val="000A44C6"/>
    <w:rsid w:val="001305D5"/>
    <w:rsid w:val="001624F8"/>
    <w:rsid w:val="001823FD"/>
    <w:rsid w:val="001B30D5"/>
    <w:rsid w:val="001D122C"/>
    <w:rsid w:val="002342E4"/>
    <w:rsid w:val="002443F4"/>
    <w:rsid w:val="002B7184"/>
    <w:rsid w:val="002C6729"/>
    <w:rsid w:val="003001DF"/>
    <w:rsid w:val="00307F09"/>
    <w:rsid w:val="00311244"/>
    <w:rsid w:val="003D5E54"/>
    <w:rsid w:val="003E7B9B"/>
    <w:rsid w:val="0045419D"/>
    <w:rsid w:val="004A7267"/>
    <w:rsid w:val="004B052B"/>
    <w:rsid w:val="004B14EC"/>
    <w:rsid w:val="004B6F0D"/>
    <w:rsid w:val="00545D83"/>
    <w:rsid w:val="0056674B"/>
    <w:rsid w:val="00594A11"/>
    <w:rsid w:val="005A57D6"/>
    <w:rsid w:val="005A714E"/>
    <w:rsid w:val="005D63A9"/>
    <w:rsid w:val="0063521C"/>
    <w:rsid w:val="00683862"/>
    <w:rsid w:val="006C28AE"/>
    <w:rsid w:val="006C775E"/>
    <w:rsid w:val="006D5E6C"/>
    <w:rsid w:val="0070334F"/>
    <w:rsid w:val="00742D35"/>
    <w:rsid w:val="007838CC"/>
    <w:rsid w:val="007A4845"/>
    <w:rsid w:val="007B383C"/>
    <w:rsid w:val="007C3E3F"/>
    <w:rsid w:val="007F32FF"/>
    <w:rsid w:val="007F7B36"/>
    <w:rsid w:val="008108BA"/>
    <w:rsid w:val="00894C98"/>
    <w:rsid w:val="008B1CF3"/>
    <w:rsid w:val="008F4217"/>
    <w:rsid w:val="00901CF5"/>
    <w:rsid w:val="00947615"/>
    <w:rsid w:val="009662D2"/>
    <w:rsid w:val="00970833"/>
    <w:rsid w:val="009D2855"/>
    <w:rsid w:val="009F563E"/>
    <w:rsid w:val="00A4372B"/>
    <w:rsid w:val="00A57558"/>
    <w:rsid w:val="00A61E93"/>
    <w:rsid w:val="00A75C11"/>
    <w:rsid w:val="00AE0A12"/>
    <w:rsid w:val="00BA4642"/>
    <w:rsid w:val="00BA7387"/>
    <w:rsid w:val="00BB4064"/>
    <w:rsid w:val="00C73970"/>
    <w:rsid w:val="00CA61E3"/>
    <w:rsid w:val="00CC2ED6"/>
    <w:rsid w:val="00D14EE2"/>
    <w:rsid w:val="00DA35B9"/>
    <w:rsid w:val="00DE1A94"/>
    <w:rsid w:val="00DE6282"/>
    <w:rsid w:val="00E123CC"/>
    <w:rsid w:val="00E41EF7"/>
    <w:rsid w:val="00E97E08"/>
    <w:rsid w:val="00ED1418"/>
    <w:rsid w:val="00F21888"/>
    <w:rsid w:val="00F76DF8"/>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0DECEB"/>
  <w15:chartTrackingRefBased/>
  <w15:docId w15:val="{7E75B1E1-D5E1-491A-AA3D-4F898443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ED1418"/>
    <w:rPr>
      <w:color w:val="0000FF" w:themeColor="hyperlink"/>
      <w:u w:val="single"/>
    </w:rPr>
  </w:style>
  <w:style w:type="character" w:styleId="Mention">
    <w:name w:val="Mention"/>
    <w:basedOn w:val="DefaultParagraphFont"/>
    <w:uiPriority w:val="99"/>
    <w:semiHidden/>
    <w:unhideWhenUsed/>
    <w:rsid w:val="00ED1418"/>
    <w:rPr>
      <w:color w:val="2B579A"/>
      <w:shd w:val="clear" w:color="auto" w:fill="E6E6E6"/>
    </w:rPr>
  </w:style>
  <w:style w:type="table" w:styleId="TableGrid">
    <w:name w:val="Table Grid"/>
    <w:basedOn w:val="TableNormal"/>
    <w:uiPriority w:val="59"/>
    <w:rsid w:val="00ED1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mc.org/resources/zoning-guide-for-cities/"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610547B75E4DB883C6BEEDFD30EF6B"/>
        <w:category>
          <w:name w:val="General"/>
          <w:gallery w:val="placeholder"/>
        </w:category>
        <w:types>
          <w:type w:val="bbPlcHdr"/>
        </w:types>
        <w:behaviors>
          <w:behavior w:val="content"/>
        </w:behaviors>
        <w:guid w:val="{5D459ED9-6D0A-402B-9E75-4D0FEC8C13E1}"/>
      </w:docPartPr>
      <w:docPartBody>
        <w:p w:rsidR="004800EA" w:rsidRDefault="004800EA">
          <w:pPr>
            <w:pStyle w:val="2B610547B75E4DB883C6BEEDFD30EF6B"/>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0EA"/>
    <w:rsid w:val="004800EA"/>
    <w:rsid w:val="0063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610547B75E4DB883C6BEEDFD30EF6B">
    <w:name w:val="2B610547B75E4DB883C6BEEDFD30E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Application Log for 60-Day Rule</vt:lpstr>
    </vt:vector>
  </TitlesOfParts>
  <Company>League of Minnesota Cities</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Log for 60-Day Rule</dc:title>
  <dc:subject/>
  <dc:creator>League of Minnesota Cities</dc:creator>
  <cp:keywords/>
  <dc:description/>
  <cp:lastModifiedBy>Hartnett, Kyle</cp:lastModifiedBy>
  <cp:revision>6</cp:revision>
  <dcterms:created xsi:type="dcterms:W3CDTF">2017-08-16T17:57:00Z</dcterms:created>
  <dcterms:modified xsi:type="dcterms:W3CDTF">2024-07-26T16:03:00Z</dcterms:modified>
</cp:coreProperties>
</file>